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5F7D" w:rsidRDefault="000A7B70">
      <w:pPr>
        <w:jc w:val="both"/>
        <w:rPr>
          <w:rFonts w:ascii="Arial" w:eastAsia="Arial" w:hAnsi="Arial" w:cs="Arial"/>
          <w:b/>
          <w:sz w:val="36"/>
          <w:szCs w:val="36"/>
        </w:rPr>
      </w:pPr>
      <w:r>
        <w:rPr>
          <w:rFonts w:ascii="Arial" w:eastAsia="Arial" w:hAnsi="Arial" w:cs="Arial"/>
          <w:b/>
          <w:sz w:val="36"/>
          <w:szCs w:val="36"/>
        </w:rPr>
        <w:t>Framework Schedule 3 (Framework Prices)</w:t>
      </w:r>
    </w:p>
    <w:p w:rsidR="00FE5F7D" w:rsidRDefault="000A7B70">
      <w:pPr>
        <w:numPr>
          <w:ilvl w:val="0"/>
          <w:numId w:val="6"/>
        </w:numPr>
        <w:pBdr>
          <w:top w:val="nil"/>
          <w:left w:val="nil"/>
          <w:bottom w:val="nil"/>
          <w:right w:val="nil"/>
          <w:between w:val="nil"/>
        </w:pBdr>
        <w:tabs>
          <w:tab w:val="left" w:pos="142"/>
        </w:tabs>
        <w:spacing w:before="120" w:after="240" w:line="240" w:lineRule="auto"/>
        <w:jc w:val="both"/>
      </w:pPr>
      <w:bookmarkStart w:id="0" w:name="_gjdgxs" w:colFirst="0" w:colLast="0"/>
      <w:bookmarkEnd w:id="0"/>
      <w:r>
        <w:rPr>
          <w:rFonts w:ascii="Arial" w:eastAsia="Arial" w:hAnsi="Arial" w:cs="Arial"/>
          <w:b/>
          <w:color w:val="000000"/>
          <w:sz w:val="24"/>
          <w:szCs w:val="24"/>
        </w:rPr>
        <w:t>How Framework Prices are used to calculate Call-Off Charges</w:t>
      </w:r>
    </w:p>
    <w:p w:rsidR="00FE5F7D" w:rsidRDefault="000A7B70">
      <w:pPr>
        <w:numPr>
          <w:ilvl w:val="1"/>
          <w:numId w:val="6"/>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 xml:space="preserve">The Framework Prices: </w:t>
      </w:r>
    </w:p>
    <w:p w:rsidR="00FE5F7D" w:rsidRDefault="000A7B70">
      <w:pPr>
        <w:numPr>
          <w:ilvl w:val="2"/>
          <w:numId w:val="6"/>
        </w:numPr>
        <w:pBdr>
          <w:top w:val="nil"/>
          <w:left w:val="nil"/>
          <w:bottom w:val="nil"/>
          <w:right w:val="nil"/>
          <w:between w:val="nil"/>
        </w:pBdr>
        <w:tabs>
          <w:tab w:val="left" w:pos="1985"/>
          <w:tab w:val="left" w:pos="2127"/>
          <w:tab w:val="left" w:pos="1440"/>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 xml:space="preserve">will be used as the basis for the </w:t>
      </w:r>
      <w:r>
        <w:rPr>
          <w:rFonts w:ascii="Arial" w:eastAsia="Arial" w:hAnsi="Arial" w:cs="Arial"/>
          <w:sz w:val="24"/>
          <w:szCs w:val="24"/>
        </w:rPr>
        <w:t>C</w:t>
      </w:r>
      <w:r>
        <w:rPr>
          <w:rFonts w:ascii="Arial" w:eastAsia="Arial" w:hAnsi="Arial" w:cs="Arial"/>
          <w:color w:val="000000"/>
          <w:sz w:val="24"/>
          <w:szCs w:val="24"/>
        </w:rPr>
        <w:t>harges</w:t>
      </w:r>
      <w:r>
        <w:rPr>
          <w:rFonts w:ascii="Arial" w:eastAsia="Arial" w:hAnsi="Arial" w:cs="Arial"/>
          <w:sz w:val="24"/>
          <w:szCs w:val="24"/>
        </w:rPr>
        <w:t xml:space="preserve"> </w:t>
      </w:r>
      <w:r>
        <w:rPr>
          <w:rFonts w:ascii="Arial" w:eastAsia="Arial" w:hAnsi="Arial" w:cs="Arial"/>
          <w:color w:val="000000"/>
          <w:sz w:val="24"/>
          <w:szCs w:val="24"/>
        </w:rPr>
        <w:t>and are maximums that the Supplier may charge, under each Call Off Contract; and</w:t>
      </w:r>
    </w:p>
    <w:p w:rsidR="00FE5F7D" w:rsidRDefault="000A7B70">
      <w:pPr>
        <w:numPr>
          <w:ilvl w:val="2"/>
          <w:numId w:val="6"/>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rsidR="00FE5F7D" w:rsidRDefault="000A7B70">
      <w:pPr>
        <w:numPr>
          <w:ilvl w:val="1"/>
          <w:numId w:val="6"/>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The Charges:</w:t>
      </w:r>
    </w:p>
    <w:p w:rsidR="00FE5F7D" w:rsidRDefault="000A7B70">
      <w:pPr>
        <w:numPr>
          <w:ilvl w:val="2"/>
          <w:numId w:val="6"/>
        </w:numPr>
        <w:pBdr>
          <w:top w:val="nil"/>
          <w:left w:val="nil"/>
          <w:bottom w:val="nil"/>
          <w:right w:val="nil"/>
          <w:between w:val="nil"/>
        </w:pBdr>
        <w:tabs>
          <w:tab w:val="left" w:pos="709"/>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rsidR="00FE5F7D" w:rsidRDefault="000A7B70">
      <w:pPr>
        <w:numPr>
          <w:ilvl w:val="1"/>
          <w:numId w:val="6"/>
        </w:numPr>
        <w:pBdr>
          <w:top w:val="nil"/>
          <w:left w:val="nil"/>
          <w:bottom w:val="nil"/>
          <w:right w:val="nil"/>
          <w:between w:val="nil"/>
        </w:pBdr>
        <w:tabs>
          <w:tab w:val="left" w:pos="709"/>
        </w:tabs>
        <w:spacing w:before="120" w:after="120" w:line="240" w:lineRule="auto"/>
        <w:ind w:left="992" w:hanging="360"/>
        <w:jc w:val="both"/>
        <w:rPr>
          <w:rFonts w:ascii="Arial" w:eastAsia="Arial" w:hAnsi="Arial" w:cs="Arial"/>
          <w:sz w:val="24"/>
          <w:szCs w:val="24"/>
        </w:rPr>
      </w:pPr>
      <w:r>
        <w:rPr>
          <w:rFonts w:ascii="Arial" w:eastAsia="Arial" w:hAnsi="Arial" w:cs="Arial"/>
          <w:sz w:val="24"/>
          <w:szCs w:val="24"/>
        </w:rPr>
        <w:t xml:space="preserve"> The Rebate</w:t>
      </w:r>
    </w:p>
    <w:p w:rsidR="00FE5F7D" w:rsidRDefault="000A7B70">
      <w:pPr>
        <w:numPr>
          <w:ilvl w:val="2"/>
          <w:numId w:val="6"/>
        </w:numPr>
        <w:pBdr>
          <w:top w:val="nil"/>
          <w:left w:val="nil"/>
          <w:bottom w:val="nil"/>
          <w:right w:val="nil"/>
          <w:between w:val="nil"/>
        </w:pBdr>
        <w:tabs>
          <w:tab w:val="left" w:pos="709"/>
        </w:tabs>
        <w:spacing w:before="120" w:after="120" w:line="240" w:lineRule="auto"/>
        <w:ind w:left="1417" w:hanging="141"/>
        <w:jc w:val="both"/>
        <w:rPr>
          <w:rFonts w:ascii="Arial" w:eastAsia="Arial" w:hAnsi="Arial" w:cs="Arial"/>
          <w:sz w:val="24"/>
          <w:szCs w:val="24"/>
        </w:rPr>
      </w:pPr>
      <w:r>
        <w:rPr>
          <w:rFonts w:ascii="Arial" w:eastAsia="Arial" w:hAnsi="Arial" w:cs="Arial"/>
          <w:sz w:val="24"/>
          <w:szCs w:val="24"/>
        </w:rPr>
        <w:t>shall be calculated in accordance with the Lot 1 Table 1 at Annex 1 to this Framework Schedule 3 and shall be the minimum Rebate payable to the Buyer</w:t>
      </w:r>
    </w:p>
    <w:p w:rsidR="00FE5F7D" w:rsidRDefault="000A7B70">
      <w:pPr>
        <w:numPr>
          <w:ilvl w:val="0"/>
          <w:numId w:val="6"/>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rsidR="00FE5F7D" w:rsidRDefault="000A7B70">
      <w:pPr>
        <w:numPr>
          <w:ilvl w:val="1"/>
          <w:numId w:val="6"/>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The Rebate and pricing mechanisms and prices set out in Annex 1-3 shall be available for use in calculation of Framework Prices in Call Off Contracts.</w:t>
      </w:r>
    </w:p>
    <w:p w:rsidR="00FE5F7D" w:rsidRDefault="000A7B70">
      <w:pPr>
        <w:numPr>
          <w:ilvl w:val="0"/>
          <w:numId w:val="6"/>
        </w:numPr>
        <w:pBdr>
          <w:top w:val="nil"/>
          <w:left w:val="nil"/>
          <w:bottom w:val="nil"/>
          <w:right w:val="nil"/>
          <w:between w:val="nil"/>
        </w:pBdr>
        <w:tabs>
          <w:tab w:val="left" w:pos="142"/>
        </w:tabs>
        <w:spacing w:before="120" w:after="240" w:line="240" w:lineRule="auto"/>
        <w:jc w:val="both"/>
      </w:pPr>
      <w:bookmarkStart w:id="1" w:name="3znysh7" w:colFirst="0" w:colLast="0"/>
      <w:bookmarkStart w:id="2" w:name="_1fob9te" w:colFirst="0" w:colLast="0"/>
      <w:bookmarkEnd w:id="1"/>
      <w:bookmarkEnd w:id="2"/>
      <w:r>
        <w:rPr>
          <w:rFonts w:ascii="Arial" w:eastAsia="Arial" w:hAnsi="Arial" w:cs="Arial"/>
          <w:b/>
          <w:color w:val="000000"/>
          <w:sz w:val="24"/>
          <w:szCs w:val="24"/>
        </w:rPr>
        <w:t>Are costs and expenses are included in the Framework Prices</w:t>
      </w:r>
    </w:p>
    <w:p w:rsidR="00FE5F7D" w:rsidRDefault="000A7B70">
      <w:pPr>
        <w:numPr>
          <w:ilvl w:val="1"/>
          <w:numId w:val="6"/>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Except as expressly set out in Paragraph 4 be</w:t>
      </w:r>
      <w:r>
        <w:rPr>
          <w:rFonts w:ascii="Arial" w:eastAsia="Arial" w:hAnsi="Arial" w:cs="Arial"/>
          <w:color w:val="000000"/>
          <w:sz w:val="24"/>
          <w:szCs w:val="24"/>
        </w:rPr>
        <w:t xml:space="preserve">low, or otherwise </w:t>
      </w:r>
      <w:r w:rsidR="009614A2">
        <w:rPr>
          <w:rFonts w:ascii="Arial" w:eastAsia="Arial" w:hAnsi="Arial" w:cs="Arial"/>
          <w:color w:val="000000"/>
          <w:sz w:val="24"/>
          <w:szCs w:val="24"/>
        </w:rPr>
        <w:t>stated in a Call Off Order Form</w:t>
      </w:r>
      <w:bookmarkStart w:id="3" w:name="_GoBack"/>
      <w:bookmarkEnd w:id="3"/>
      <w:r>
        <w:rPr>
          <w:rFonts w:ascii="Arial" w:eastAsia="Arial" w:hAnsi="Arial" w:cs="Arial"/>
          <w:color w:val="000000"/>
          <w:sz w:val="24"/>
          <w:szCs w:val="24"/>
        </w:rPr>
        <w:t xml:space="preserve"> the Framework Prices shall include all costs and expenses relating to the provision of Deliverables. No further amounts shall be payable in respect of matters such as:</w:t>
      </w:r>
    </w:p>
    <w:p w:rsidR="00FE5F7D" w:rsidRDefault="000A7B70">
      <w:pPr>
        <w:numPr>
          <w:ilvl w:val="2"/>
          <w:numId w:val="6"/>
        </w:numPr>
        <w:pBdr>
          <w:top w:val="nil"/>
          <w:left w:val="nil"/>
          <w:bottom w:val="nil"/>
          <w:right w:val="nil"/>
          <w:between w:val="nil"/>
        </w:pBdr>
        <w:tabs>
          <w:tab w:val="left" w:pos="1985"/>
          <w:tab w:val="left" w:pos="2127"/>
          <w:tab w:val="left" w:pos="1980"/>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incidental expenses such as travel, s</w:t>
      </w:r>
      <w:r>
        <w:rPr>
          <w:rFonts w:ascii="Arial" w:eastAsia="Arial" w:hAnsi="Arial" w:cs="Arial"/>
          <w:color w:val="000000"/>
          <w:sz w:val="24"/>
          <w:szCs w:val="24"/>
        </w:rPr>
        <w:t>ubsistence and lodging, document or report reproduction, shipping, desktop or office equipment costs, network or data interchange costs or other telecommunications charges; or</w:t>
      </w:r>
    </w:p>
    <w:p w:rsidR="00FE5F7D" w:rsidRDefault="000A7B70">
      <w:pPr>
        <w:numPr>
          <w:ilvl w:val="2"/>
          <w:numId w:val="6"/>
        </w:numPr>
        <w:pBdr>
          <w:top w:val="nil"/>
          <w:left w:val="nil"/>
          <w:bottom w:val="nil"/>
          <w:right w:val="nil"/>
          <w:between w:val="nil"/>
        </w:pBdr>
        <w:tabs>
          <w:tab w:val="left" w:pos="1985"/>
          <w:tab w:val="left" w:pos="2127"/>
          <w:tab w:val="left" w:pos="1980"/>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costs incurred prior to the commencement of any Call Off Contract.</w:t>
      </w:r>
    </w:p>
    <w:p w:rsidR="00FE5F7D" w:rsidRDefault="000A7B70">
      <w:pPr>
        <w:numPr>
          <w:ilvl w:val="0"/>
          <w:numId w:val="6"/>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rsidR="00FE5F7D" w:rsidRDefault="000A7B70">
      <w:pPr>
        <w:numPr>
          <w:ilvl w:val="1"/>
          <w:numId w:val="6"/>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sz w:val="24"/>
          <w:szCs w:val="24"/>
        </w:rPr>
        <w:t>The Supplier may request to decrease Prices or increase the Rebate at any time following the Framework Contract Commencement date.</w:t>
      </w:r>
    </w:p>
    <w:p w:rsidR="00FE5F7D" w:rsidRDefault="000A7B70">
      <w:pPr>
        <w:numPr>
          <w:ilvl w:val="1"/>
          <w:numId w:val="6"/>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The Framework Price</w:t>
      </w:r>
      <w:r>
        <w:rPr>
          <w:rFonts w:ascii="Arial" w:eastAsia="Arial" w:hAnsi="Arial" w:cs="Arial"/>
          <w:sz w:val="24"/>
          <w:szCs w:val="24"/>
        </w:rPr>
        <w:t xml:space="preserve"> maximums</w:t>
      </w:r>
      <w:r>
        <w:rPr>
          <w:rFonts w:ascii="Arial" w:eastAsia="Arial" w:hAnsi="Arial" w:cs="Arial"/>
          <w:color w:val="000000"/>
          <w:sz w:val="24"/>
          <w:szCs w:val="24"/>
        </w:rPr>
        <w:t xml:space="preserve"> will be fixed for the first </w:t>
      </w:r>
      <w:r>
        <w:rPr>
          <w:rFonts w:ascii="Arial" w:eastAsia="Arial" w:hAnsi="Arial" w:cs="Arial"/>
          <w:b/>
          <w:color w:val="000000"/>
          <w:sz w:val="24"/>
          <w:szCs w:val="24"/>
        </w:rPr>
        <w:t>3</w:t>
      </w:r>
      <w:r>
        <w:rPr>
          <w:rFonts w:ascii="Arial" w:eastAsia="Arial" w:hAnsi="Arial" w:cs="Arial"/>
          <w:color w:val="000000"/>
          <w:sz w:val="24"/>
          <w:szCs w:val="24"/>
        </w:rPr>
        <w:t xml:space="preserve"> years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w:t>
      </w:r>
      <w:r>
        <w:rPr>
          <w:rFonts w:ascii="Arial" w:eastAsia="Arial" w:hAnsi="Arial" w:cs="Arial"/>
          <w:b/>
          <w:color w:val="000000"/>
          <w:sz w:val="24"/>
          <w:szCs w:val="24"/>
        </w:rPr>
        <w:t>te</w:t>
      </w:r>
      <w:r>
        <w:rPr>
          <w:rFonts w:ascii="Arial" w:eastAsia="Arial" w:hAnsi="Arial" w:cs="Arial"/>
          <w:color w:val="000000"/>
          <w:sz w:val="24"/>
          <w:szCs w:val="24"/>
        </w:rPr>
        <w:t>").</w:t>
      </w:r>
    </w:p>
    <w:p w:rsidR="00FE5F7D" w:rsidRDefault="000A7B70">
      <w:pPr>
        <w:numPr>
          <w:ilvl w:val="1"/>
          <w:numId w:val="6"/>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bookmarkStart w:id="4" w:name="_2et92p0" w:colFirst="0" w:colLast="0"/>
      <w:bookmarkEnd w:id="4"/>
      <w:r>
        <w:rPr>
          <w:rFonts w:ascii="Arial" w:eastAsia="Arial" w:hAnsi="Arial" w:cs="Arial"/>
          <w:color w:val="000000"/>
          <w:sz w:val="24"/>
          <w:szCs w:val="24"/>
        </w:rPr>
        <w:t xml:space="preserve">The Supplier shall give CCS at least three (3) Months' notice in writing prior to a Review Date where it wants to request an increase.  If the Supplier </w:t>
      </w:r>
      <w:r>
        <w:rPr>
          <w:rFonts w:ascii="Arial" w:eastAsia="Arial" w:hAnsi="Arial" w:cs="Arial"/>
          <w:color w:val="000000"/>
          <w:sz w:val="24"/>
          <w:szCs w:val="24"/>
        </w:rPr>
        <w:lastRenderedPageBreak/>
        <w:t>does not give notice in time then it will only be able to request an increase prior to the next Re</w:t>
      </w:r>
      <w:r>
        <w:rPr>
          <w:rFonts w:ascii="Arial" w:eastAsia="Arial" w:hAnsi="Arial" w:cs="Arial"/>
          <w:color w:val="000000"/>
          <w:sz w:val="24"/>
          <w:szCs w:val="24"/>
        </w:rPr>
        <w:t>view Date.</w:t>
      </w:r>
    </w:p>
    <w:p w:rsidR="00FE5F7D" w:rsidRDefault="000A7B70">
      <w:pPr>
        <w:numPr>
          <w:ilvl w:val="1"/>
          <w:numId w:val="6"/>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rsidR="00FE5F7D" w:rsidRDefault="000A7B70">
      <w:pPr>
        <w:numPr>
          <w:ilvl w:val="2"/>
          <w:numId w:val="6"/>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rsidR="00FE5F7D" w:rsidRDefault="000A7B70">
      <w:pPr>
        <w:numPr>
          <w:ilvl w:val="2"/>
          <w:numId w:val="6"/>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rsidR="00FE5F7D" w:rsidRDefault="000A7B70">
      <w:pPr>
        <w:numPr>
          <w:ilvl w:val="3"/>
          <w:numId w:val="6"/>
        </w:numPr>
        <w:pBdr>
          <w:top w:val="nil"/>
          <w:left w:val="nil"/>
          <w:bottom w:val="nil"/>
          <w:right w:val="nil"/>
          <w:between w:val="nil"/>
        </w:pBdr>
        <w:tabs>
          <w:tab w:val="left" w:pos="1985"/>
          <w:tab w:val="left" w:pos="2127"/>
        </w:tabs>
        <w:spacing w:before="120" w:after="120" w:line="240" w:lineRule="auto"/>
        <w:ind w:left="1985" w:hanging="815"/>
        <w:jc w:val="both"/>
        <w:rPr>
          <w:rFonts w:ascii="Arial" w:eastAsia="Arial" w:hAnsi="Arial" w:cs="Arial"/>
          <w:b/>
          <w:i/>
          <w:color w:val="000000"/>
          <w:sz w:val="24"/>
          <w:szCs w:val="24"/>
        </w:rPr>
      </w:pPr>
      <w:r>
        <w:rPr>
          <w:rFonts w:ascii="Arial" w:eastAsia="Arial" w:hAnsi="Arial" w:cs="Arial"/>
          <w:color w:val="000000"/>
          <w:sz w:val="24"/>
          <w:szCs w:val="24"/>
        </w:rPr>
        <w:t>[a breakdown of the profit and cost components that comprise the relevant Framework Price; ]</w:t>
      </w:r>
    </w:p>
    <w:p w:rsidR="00FE5F7D" w:rsidRDefault="000A7B70">
      <w:pPr>
        <w:numPr>
          <w:ilvl w:val="3"/>
          <w:numId w:val="6"/>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jc w:val="both"/>
        <w:rPr>
          <w:rFonts w:ascii="Arial" w:eastAsia="Arial" w:hAnsi="Arial" w:cs="Arial"/>
          <w:color w:val="000000"/>
          <w:sz w:val="24"/>
          <w:szCs w:val="24"/>
        </w:rPr>
      </w:pPr>
      <w:r>
        <w:rPr>
          <w:rFonts w:ascii="Arial" w:eastAsia="Arial" w:hAnsi="Arial" w:cs="Arial"/>
          <w:color w:val="000000"/>
          <w:sz w:val="24"/>
          <w:szCs w:val="24"/>
        </w:rPr>
        <w:t>[details of the movement in the different identified cost components of the relevant Framework Price;]</w:t>
      </w:r>
    </w:p>
    <w:p w:rsidR="00FE5F7D" w:rsidRDefault="000A7B70">
      <w:pPr>
        <w:numPr>
          <w:ilvl w:val="3"/>
          <w:numId w:val="6"/>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jc w:val="both"/>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Framework Price;]</w:t>
      </w:r>
    </w:p>
    <w:p w:rsidR="00FE5F7D" w:rsidRDefault="000A7B70">
      <w:pPr>
        <w:numPr>
          <w:ilvl w:val="3"/>
          <w:numId w:val="6"/>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jc w:val="both"/>
        <w:rPr>
          <w:rFonts w:ascii="Arial" w:eastAsia="Arial" w:hAnsi="Arial" w:cs="Arial"/>
          <w:color w:val="000000"/>
          <w:sz w:val="24"/>
          <w:szCs w:val="24"/>
        </w:rPr>
      </w:pPr>
      <w:r>
        <w:rPr>
          <w:rFonts w:ascii="Arial" w:eastAsia="Arial" w:hAnsi="Arial" w:cs="Arial"/>
          <w:color w:val="000000"/>
          <w:sz w:val="24"/>
          <w:szCs w:val="24"/>
        </w:rPr>
        <w:t>[evidence that the Supplier has attempted to mitigate against the increase in the relevant cost components; and]</w:t>
      </w:r>
    </w:p>
    <w:p w:rsidR="00FE5F7D" w:rsidRDefault="000A7B70">
      <w:pPr>
        <w:numPr>
          <w:ilvl w:val="3"/>
          <w:numId w:val="6"/>
        </w:numPr>
        <w:pBdr>
          <w:top w:val="nil"/>
          <w:left w:val="nil"/>
          <w:bottom w:val="nil"/>
          <w:right w:val="nil"/>
          <w:between w:val="nil"/>
        </w:pBdr>
        <w:tabs>
          <w:tab w:val="left" w:pos="1985"/>
          <w:tab w:val="left" w:pos="2127"/>
        </w:tabs>
        <w:spacing w:before="120" w:after="120" w:line="240" w:lineRule="auto"/>
        <w:ind w:left="1985" w:hanging="815"/>
        <w:jc w:val="both"/>
        <w:rPr>
          <w:rFonts w:ascii="Arial" w:eastAsia="Arial" w:hAnsi="Arial" w:cs="Arial"/>
          <w:color w:val="000000"/>
          <w:sz w:val="24"/>
          <w:szCs w:val="24"/>
        </w:rPr>
      </w:pPr>
      <w:r>
        <w:rPr>
          <w:rFonts w:ascii="Arial" w:eastAsia="Arial" w:hAnsi="Arial" w:cs="Arial"/>
          <w:color w:val="000000"/>
          <w:sz w:val="24"/>
          <w:szCs w:val="24"/>
        </w:rPr>
        <w:t>[evidence that the Supplier’s profit co</w:t>
      </w:r>
      <w:r>
        <w:rPr>
          <w:rFonts w:ascii="Arial" w:eastAsia="Arial" w:hAnsi="Arial" w:cs="Arial"/>
          <w:color w:val="000000"/>
          <w:sz w:val="24"/>
          <w:szCs w:val="24"/>
        </w:rPr>
        <w:t>mponent of the relevant  Framework Price is no greater than that applying to Framework Prices using the same pricing mechanism as at the Contract Commencement Date.]</w:t>
      </w:r>
      <w:r>
        <w:rPr>
          <w:rFonts w:ascii="Arial" w:eastAsia="Arial" w:hAnsi="Arial" w:cs="Arial"/>
          <w:b/>
          <w:color w:val="000000"/>
          <w:sz w:val="24"/>
          <w:szCs w:val="24"/>
        </w:rPr>
        <w:t>[</w:t>
      </w:r>
    </w:p>
    <w:p w:rsidR="00FE5F7D" w:rsidRDefault="000A7B70">
      <w:pPr>
        <w:numPr>
          <w:ilvl w:val="1"/>
          <w:numId w:val="6"/>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CCS shall consider each request for a price increase.  CCS may grant Approval to an increase at its sole discretion.</w:t>
      </w:r>
    </w:p>
    <w:p w:rsidR="00FE5F7D" w:rsidRDefault="000A7B70">
      <w:pPr>
        <w:numPr>
          <w:ilvl w:val="1"/>
          <w:numId w:val="6"/>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Where CCS approves an increase then it will be implemented from the first (1st) Working Day following the relevant Review Date or such later date as CCS may determine at its sole discretion and Annex 1 shall be updated accordingly.</w:t>
      </w:r>
    </w:p>
    <w:p w:rsidR="00FE5F7D" w:rsidRDefault="000A7B70">
      <w:pPr>
        <w:numPr>
          <w:ilvl w:val="0"/>
          <w:numId w:val="6"/>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 xml:space="preserve">Other events that allow </w:t>
      </w:r>
      <w:r>
        <w:rPr>
          <w:rFonts w:ascii="Arial" w:eastAsia="Arial" w:hAnsi="Arial" w:cs="Arial"/>
          <w:b/>
          <w:color w:val="000000"/>
          <w:sz w:val="24"/>
          <w:szCs w:val="24"/>
        </w:rPr>
        <w:t>the Supplier to change the Framework Prices</w:t>
      </w:r>
    </w:p>
    <w:p w:rsidR="00FE5F7D" w:rsidRDefault="000A7B70">
      <w:pPr>
        <w:numPr>
          <w:ilvl w:val="1"/>
          <w:numId w:val="6"/>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The Rebate and Framework Prices can also be varied (and Annex 1-3 will be updated accordingly) due to:</w:t>
      </w:r>
    </w:p>
    <w:p w:rsidR="00FE5F7D" w:rsidRDefault="000A7B70">
      <w:pPr>
        <w:numPr>
          <w:ilvl w:val="2"/>
          <w:numId w:val="6"/>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rsidR="00FE5F7D" w:rsidRDefault="000A7B70">
      <w:pPr>
        <w:numPr>
          <w:ilvl w:val="2"/>
          <w:numId w:val="6"/>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w:t>
      </w:r>
      <w:r>
        <w:rPr>
          <w:rFonts w:ascii="Arial" w:eastAsia="Arial" w:hAnsi="Arial" w:cs="Arial"/>
          <w:color w:val="000000"/>
          <w:sz w:val="24"/>
          <w:szCs w:val="24"/>
        </w:rPr>
        <w:t xml:space="preserve">Clause 13; </w:t>
      </w:r>
    </w:p>
    <w:p w:rsidR="00FE5F7D" w:rsidRDefault="000A7B70">
      <w:pPr>
        <w:numPr>
          <w:ilvl w:val="2"/>
          <w:numId w:val="6"/>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a benchmarking review in accordance with Call Off Schedule 16 (Benchmarking)</w:t>
      </w:r>
    </w:p>
    <w:p w:rsidR="00FE5F7D" w:rsidRDefault="000A7B70">
      <w:pPr>
        <w:numPr>
          <w:ilvl w:val="2"/>
          <w:numId w:val="6"/>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Framework Prices; and</w:t>
      </w:r>
    </w:p>
    <w:p w:rsidR="00FE5F7D" w:rsidRDefault="00FE5F7D">
      <w:pPr>
        <w:pBdr>
          <w:top w:val="nil"/>
          <w:left w:val="nil"/>
          <w:bottom w:val="nil"/>
          <w:right w:val="nil"/>
          <w:between w:val="nil"/>
        </w:pBdr>
        <w:tabs>
          <w:tab w:val="left" w:pos="1985"/>
          <w:tab w:val="left" w:pos="2127"/>
        </w:tabs>
        <w:spacing w:before="120" w:after="120" w:line="240" w:lineRule="auto"/>
        <w:ind w:left="990"/>
        <w:jc w:val="both"/>
        <w:rPr>
          <w:rFonts w:ascii="Arial" w:eastAsia="Arial" w:hAnsi="Arial" w:cs="Arial"/>
          <w:b/>
          <w:sz w:val="24"/>
          <w:szCs w:val="24"/>
          <w:highlight w:val="yellow"/>
        </w:rPr>
      </w:pPr>
    </w:p>
    <w:p w:rsidR="00FE5F7D" w:rsidRDefault="00FE5F7D">
      <w:pPr>
        <w:pBdr>
          <w:top w:val="nil"/>
          <w:left w:val="nil"/>
          <w:bottom w:val="nil"/>
          <w:right w:val="nil"/>
          <w:between w:val="nil"/>
        </w:pBdr>
        <w:tabs>
          <w:tab w:val="left" w:pos="0"/>
        </w:tabs>
        <w:spacing w:before="240" w:after="240" w:line="240" w:lineRule="auto"/>
        <w:ind w:left="644" w:hanging="360"/>
        <w:jc w:val="both"/>
        <w:rPr>
          <w:rFonts w:ascii="Arial" w:eastAsia="Arial" w:hAnsi="Arial" w:cs="Arial"/>
          <w:b/>
          <w:sz w:val="24"/>
          <w:szCs w:val="24"/>
          <w:highlight w:val="yellow"/>
        </w:rPr>
      </w:pPr>
    </w:p>
    <w:p w:rsidR="00FE5F7D" w:rsidRDefault="000A7B70">
      <w:pPr>
        <w:jc w:val="both"/>
        <w:rPr>
          <w:rFonts w:ascii="Arial" w:eastAsia="Arial" w:hAnsi="Arial" w:cs="Arial"/>
          <w:b/>
          <w:sz w:val="24"/>
          <w:szCs w:val="24"/>
        </w:rPr>
      </w:pPr>
      <w:r>
        <w:rPr>
          <w:rFonts w:ascii="Arial" w:eastAsia="Arial" w:hAnsi="Arial" w:cs="Arial"/>
          <w:b/>
          <w:sz w:val="24"/>
          <w:szCs w:val="24"/>
        </w:rPr>
        <w:t>Annex 1 Lot 1 Rebate Calculation and Fees and Charges</w:t>
      </w:r>
    </w:p>
    <w:p w:rsidR="00FE5F7D" w:rsidRDefault="000A7B70">
      <w:pPr>
        <w:numPr>
          <w:ilvl w:val="0"/>
          <w:numId w:val="3"/>
        </w:numPr>
        <w:spacing w:after="0"/>
        <w:jc w:val="both"/>
        <w:rPr>
          <w:rFonts w:ascii="Arial" w:eastAsia="Arial" w:hAnsi="Arial" w:cs="Arial"/>
          <w:sz w:val="24"/>
          <w:szCs w:val="24"/>
        </w:rPr>
      </w:pPr>
      <w:r>
        <w:rPr>
          <w:rFonts w:ascii="Arial" w:eastAsia="Arial" w:hAnsi="Arial" w:cs="Arial"/>
          <w:sz w:val="24"/>
          <w:szCs w:val="24"/>
        </w:rPr>
        <w:t>No Charges are payable by the Buyer for any of the mandatory Deliverables set out within Framework Schedule 1 (Framework Specification)</w:t>
      </w:r>
    </w:p>
    <w:p w:rsidR="00FE5F7D" w:rsidRDefault="000A7B70">
      <w:pPr>
        <w:spacing w:after="0"/>
        <w:ind w:left="720"/>
        <w:jc w:val="both"/>
        <w:rPr>
          <w:rFonts w:ascii="Arial" w:eastAsia="Arial" w:hAnsi="Arial" w:cs="Arial"/>
          <w:sz w:val="24"/>
          <w:szCs w:val="24"/>
        </w:rPr>
      </w:pPr>
      <w:r>
        <w:rPr>
          <w:rFonts w:ascii="Arial" w:eastAsia="Arial" w:hAnsi="Arial" w:cs="Arial"/>
          <w:sz w:val="24"/>
          <w:szCs w:val="24"/>
        </w:rPr>
        <w:lastRenderedPageBreak/>
        <w:t xml:space="preserve"> </w:t>
      </w:r>
    </w:p>
    <w:p w:rsidR="00FE5F7D" w:rsidRDefault="000A7B70">
      <w:pPr>
        <w:numPr>
          <w:ilvl w:val="0"/>
          <w:numId w:val="3"/>
        </w:numPr>
        <w:spacing w:after="0"/>
        <w:jc w:val="both"/>
        <w:rPr>
          <w:rFonts w:ascii="Arial" w:eastAsia="Arial" w:hAnsi="Arial" w:cs="Arial"/>
          <w:sz w:val="24"/>
          <w:szCs w:val="24"/>
        </w:rPr>
      </w:pPr>
      <w:r>
        <w:rPr>
          <w:rFonts w:ascii="Arial" w:eastAsia="Arial" w:hAnsi="Arial" w:cs="Arial"/>
          <w:sz w:val="24"/>
          <w:szCs w:val="24"/>
        </w:rPr>
        <w:t xml:space="preserve">The Rebate will be calculated using the Lot 1 Table 1 below and as detailed at paragraph 3.21 of Framework Schedule 3 (Framework Specification). </w:t>
      </w:r>
    </w:p>
    <w:p w:rsidR="00FE5F7D" w:rsidRDefault="00FE5F7D">
      <w:pPr>
        <w:spacing w:after="0"/>
        <w:ind w:left="720"/>
        <w:jc w:val="both"/>
        <w:rPr>
          <w:rFonts w:ascii="Arial" w:eastAsia="Arial" w:hAnsi="Arial" w:cs="Arial"/>
          <w:sz w:val="24"/>
          <w:szCs w:val="24"/>
        </w:rPr>
      </w:pPr>
    </w:p>
    <w:p w:rsidR="00FE5F7D" w:rsidRDefault="000A7B70">
      <w:pPr>
        <w:numPr>
          <w:ilvl w:val="0"/>
          <w:numId w:val="3"/>
        </w:numPr>
        <w:jc w:val="both"/>
        <w:rPr>
          <w:rFonts w:ascii="Arial" w:eastAsia="Arial" w:hAnsi="Arial" w:cs="Arial"/>
          <w:sz w:val="24"/>
          <w:szCs w:val="24"/>
        </w:rPr>
      </w:pPr>
      <w:r>
        <w:rPr>
          <w:rFonts w:ascii="Arial" w:eastAsia="Arial" w:hAnsi="Arial" w:cs="Arial"/>
          <w:sz w:val="24"/>
          <w:szCs w:val="24"/>
        </w:rPr>
        <w:t>Lot 1 Tables 2 and 3 sets out the Fees and Charges that the Supplier may Charge the Buyer under this Framewor</w:t>
      </w:r>
      <w:r>
        <w:rPr>
          <w:rFonts w:ascii="Arial" w:eastAsia="Arial" w:hAnsi="Arial" w:cs="Arial"/>
          <w:sz w:val="24"/>
          <w:szCs w:val="24"/>
        </w:rPr>
        <w:t>k.</w:t>
      </w:r>
    </w:p>
    <w:p w:rsidR="00FE5F7D" w:rsidRDefault="000A7B70">
      <w:pPr>
        <w:ind w:left="720"/>
        <w:jc w:val="both"/>
        <w:rPr>
          <w:rFonts w:ascii="Arial" w:eastAsia="Arial" w:hAnsi="Arial" w:cs="Arial"/>
          <w:sz w:val="24"/>
          <w:szCs w:val="24"/>
        </w:rPr>
      </w:pPr>
      <w:r>
        <w:rPr>
          <w:rFonts w:ascii="Arial" w:eastAsia="Arial" w:hAnsi="Arial" w:cs="Arial"/>
          <w:sz w:val="24"/>
          <w:szCs w:val="24"/>
        </w:rPr>
        <w:t xml:space="preserve"> </w:t>
      </w:r>
    </w:p>
    <w:p w:rsidR="00FE5F7D" w:rsidRDefault="000A7B70">
      <w:pPr>
        <w:jc w:val="both"/>
        <w:rPr>
          <w:rFonts w:ascii="Arial" w:eastAsia="Arial" w:hAnsi="Arial" w:cs="Arial"/>
          <w:b/>
          <w:sz w:val="24"/>
          <w:szCs w:val="24"/>
        </w:rPr>
      </w:pPr>
      <w:r>
        <w:rPr>
          <w:rFonts w:ascii="Arial" w:eastAsia="Arial" w:hAnsi="Arial" w:cs="Arial"/>
          <w:b/>
          <w:sz w:val="24"/>
          <w:szCs w:val="24"/>
        </w:rPr>
        <w:t>Lot 1 Table 1</w:t>
      </w:r>
    </w:p>
    <w:tbl>
      <w:tblPr>
        <w:tblStyle w:val="a"/>
        <w:tblW w:w="8985" w:type="dxa"/>
        <w:tblLayout w:type="fixed"/>
        <w:tblLook w:val="0600" w:firstRow="0" w:lastRow="0" w:firstColumn="0" w:lastColumn="0" w:noHBand="1" w:noVBand="1"/>
      </w:tblPr>
      <w:tblGrid>
        <w:gridCol w:w="780"/>
        <w:gridCol w:w="1395"/>
        <w:gridCol w:w="1485"/>
        <w:gridCol w:w="1920"/>
        <w:gridCol w:w="900"/>
        <w:gridCol w:w="795"/>
        <w:gridCol w:w="900"/>
        <w:gridCol w:w="810"/>
      </w:tblGrid>
      <w:tr w:rsidR="00FE5F7D">
        <w:trPr>
          <w:trHeight w:val="885"/>
        </w:trPr>
        <w:tc>
          <w:tcPr>
            <w:tcW w:w="780" w:type="dxa"/>
            <w:tcBorders>
              <w:top w:val="single" w:sz="12" w:space="0" w:color="000000"/>
              <w:left w:val="single" w:sz="12" w:space="0" w:color="000000"/>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b/>
                <w:sz w:val="24"/>
                <w:szCs w:val="24"/>
              </w:rPr>
              <w:t>YEARS</w:t>
            </w:r>
          </w:p>
        </w:tc>
        <w:tc>
          <w:tcPr>
            <w:tcW w:w="1395" w:type="dxa"/>
            <w:tcBorders>
              <w:top w:val="single" w:sz="12" w:space="0" w:color="000000"/>
              <w:left w:val="nil"/>
              <w:bottom w:val="single" w:sz="12"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b/>
                <w:sz w:val="24"/>
                <w:szCs w:val="24"/>
              </w:rPr>
              <w:t>BUYER’S ANNUAL CONTRACT SPEND</w:t>
            </w:r>
          </w:p>
        </w:tc>
        <w:tc>
          <w:tcPr>
            <w:tcW w:w="1485" w:type="dxa"/>
            <w:tcBorders>
              <w:top w:val="single" w:sz="12" w:space="0" w:color="000000"/>
              <w:left w:val="nil"/>
              <w:bottom w:val="single" w:sz="6" w:space="0" w:color="000000"/>
              <w:right w:val="single" w:sz="12" w:space="0" w:color="000000"/>
            </w:tcBorders>
            <w:shd w:val="clear" w:color="auto" w:fill="FFFFFF"/>
            <w:tcMar>
              <w:top w:w="0" w:type="dxa"/>
              <w:left w:w="40" w:type="dxa"/>
              <w:bottom w:w="0" w:type="dxa"/>
              <w:right w:w="40" w:type="dxa"/>
            </w:tcMar>
            <w:vAlign w:val="center"/>
          </w:tcPr>
          <w:p w:rsidR="00FE5F7D" w:rsidRDefault="000A7B70">
            <w:pPr>
              <w:widowControl w:val="0"/>
              <w:spacing w:after="0"/>
              <w:jc w:val="both"/>
              <w:rPr>
                <w:rFonts w:ascii="Arial" w:eastAsia="Arial" w:hAnsi="Arial" w:cs="Arial"/>
                <w:sz w:val="24"/>
                <w:szCs w:val="24"/>
              </w:rPr>
            </w:pPr>
            <w:r>
              <w:rPr>
                <w:rFonts w:ascii="Arial" w:eastAsia="Arial" w:hAnsi="Arial" w:cs="Arial"/>
                <w:b/>
                <w:sz w:val="24"/>
                <w:szCs w:val="24"/>
              </w:rPr>
              <w:t>REBATE BASED ON BUYER 28 DAY SETTLEMENT PERIOD</w:t>
            </w:r>
          </w:p>
        </w:tc>
        <w:tc>
          <w:tcPr>
            <w:tcW w:w="1920" w:type="dxa"/>
            <w:tcBorders>
              <w:top w:val="single" w:sz="12" w:space="0" w:color="000000"/>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b/>
                <w:sz w:val="24"/>
                <w:szCs w:val="24"/>
              </w:rPr>
              <w:t>TENDERED REBATE VARIANCE - BASED ON IMPROVED BUYER SETTLEMENT</w:t>
            </w:r>
          </w:p>
        </w:tc>
        <w:tc>
          <w:tcPr>
            <w:tcW w:w="3405" w:type="dxa"/>
            <w:gridSpan w:val="4"/>
            <w:tcBorders>
              <w:top w:val="single" w:sz="12" w:space="0" w:color="000000"/>
              <w:left w:val="nil"/>
              <w:bottom w:val="single" w:sz="12" w:space="0" w:color="000000"/>
              <w:right w:val="single" w:sz="12" w:space="0" w:color="000000"/>
            </w:tcBorders>
            <w:shd w:val="clear" w:color="auto" w:fill="FFFFFF"/>
            <w:tcMar>
              <w:top w:w="0" w:type="dxa"/>
              <w:left w:w="40" w:type="dxa"/>
              <w:bottom w:w="0" w:type="dxa"/>
              <w:right w:w="40" w:type="dxa"/>
            </w:tcMar>
            <w:vAlign w:val="center"/>
          </w:tcPr>
          <w:p w:rsidR="00FE5F7D" w:rsidRDefault="000A7B70">
            <w:pPr>
              <w:widowControl w:val="0"/>
              <w:spacing w:after="0"/>
              <w:jc w:val="center"/>
              <w:rPr>
                <w:rFonts w:ascii="Arial" w:eastAsia="Arial" w:hAnsi="Arial" w:cs="Arial"/>
                <w:sz w:val="24"/>
                <w:szCs w:val="24"/>
              </w:rPr>
            </w:pPr>
            <w:r>
              <w:rPr>
                <w:rFonts w:ascii="Arial" w:eastAsia="Arial" w:hAnsi="Arial" w:cs="Arial"/>
                <w:b/>
                <w:sz w:val="24"/>
                <w:szCs w:val="24"/>
              </w:rPr>
              <w:t>CALCULATED REBATE (BASIS POINTS) Vs SETTLEMENT DAYS</w:t>
            </w:r>
          </w:p>
        </w:tc>
      </w:tr>
      <w:tr w:rsidR="00FE5F7D">
        <w:trPr>
          <w:trHeight w:val="300"/>
        </w:trPr>
        <w:tc>
          <w:tcPr>
            <w:tcW w:w="780" w:type="dxa"/>
            <w:tcBorders>
              <w:top w:val="nil"/>
              <w:left w:val="single" w:sz="12" w:space="0" w:color="000000"/>
              <w:bottom w:val="single" w:sz="12" w:space="0" w:color="000000"/>
              <w:right w:val="single" w:sz="12"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1395" w:type="dxa"/>
            <w:tcBorders>
              <w:top w:val="nil"/>
              <w:left w:val="nil"/>
              <w:bottom w:val="single" w:sz="12"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b/>
                <w:sz w:val="24"/>
                <w:szCs w:val="24"/>
              </w:rPr>
              <w:t>(£/YEAR)</w:t>
            </w:r>
          </w:p>
        </w:tc>
        <w:tc>
          <w:tcPr>
            <w:tcW w:w="1485" w:type="dxa"/>
            <w:tcBorders>
              <w:top w:val="nil"/>
              <w:left w:val="nil"/>
              <w:bottom w:val="single" w:sz="12"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b/>
                <w:sz w:val="24"/>
                <w:szCs w:val="24"/>
              </w:rPr>
              <w:t>(BASIS POINTS)</w:t>
            </w:r>
          </w:p>
        </w:tc>
        <w:tc>
          <w:tcPr>
            <w:tcW w:w="1920" w:type="dxa"/>
            <w:tcBorders>
              <w:top w:val="nil"/>
              <w:left w:val="nil"/>
              <w:bottom w:val="single" w:sz="12" w:space="0" w:color="000000"/>
              <w:right w:val="single" w:sz="6"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b/>
                <w:sz w:val="24"/>
                <w:szCs w:val="24"/>
              </w:rPr>
              <w:t>(BASIS POINT/DAY)</w:t>
            </w:r>
          </w:p>
        </w:tc>
        <w:tc>
          <w:tcPr>
            <w:tcW w:w="900" w:type="dxa"/>
            <w:tcBorders>
              <w:top w:val="nil"/>
              <w:left w:val="nil"/>
              <w:bottom w:val="single" w:sz="12"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21</w:t>
            </w:r>
          </w:p>
        </w:tc>
        <w:tc>
          <w:tcPr>
            <w:tcW w:w="795" w:type="dxa"/>
            <w:tcBorders>
              <w:top w:val="nil"/>
              <w:left w:val="nil"/>
              <w:bottom w:val="single" w:sz="12"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14</w:t>
            </w:r>
          </w:p>
        </w:tc>
        <w:tc>
          <w:tcPr>
            <w:tcW w:w="900" w:type="dxa"/>
            <w:tcBorders>
              <w:top w:val="nil"/>
              <w:left w:val="nil"/>
              <w:bottom w:val="single" w:sz="12"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10</w:t>
            </w:r>
          </w:p>
        </w:tc>
        <w:tc>
          <w:tcPr>
            <w:tcW w:w="810" w:type="dxa"/>
            <w:tcBorders>
              <w:top w:val="nil"/>
              <w:left w:val="nil"/>
              <w:bottom w:val="single" w:sz="12"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7</w:t>
            </w:r>
          </w:p>
        </w:tc>
      </w:tr>
      <w:tr w:rsidR="00FE5F7D">
        <w:trPr>
          <w:trHeight w:val="300"/>
        </w:trPr>
        <w:tc>
          <w:tcPr>
            <w:tcW w:w="780" w:type="dxa"/>
            <w:tcBorders>
              <w:top w:val="nil"/>
              <w:left w:val="single" w:sz="12" w:space="0" w:color="000000"/>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b/>
                <w:sz w:val="24"/>
                <w:szCs w:val="24"/>
              </w:rPr>
              <w:t>1 to 4</w:t>
            </w:r>
          </w:p>
        </w:tc>
        <w:tc>
          <w:tcPr>
            <w:tcW w:w="1395" w:type="dxa"/>
            <w:tcBorders>
              <w:top w:val="nil"/>
              <w:left w:val="nil"/>
              <w:bottom w:val="single" w:sz="12"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£0 - £249,999</w:t>
            </w:r>
          </w:p>
        </w:tc>
        <w:tc>
          <w:tcPr>
            <w:tcW w:w="1485"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192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900"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795"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900"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810"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r>
      <w:tr w:rsidR="00FE5F7D">
        <w:trPr>
          <w:trHeight w:val="300"/>
        </w:trPr>
        <w:tc>
          <w:tcPr>
            <w:tcW w:w="780" w:type="dxa"/>
            <w:tcBorders>
              <w:top w:val="nil"/>
              <w:left w:val="single" w:sz="12" w:space="0" w:color="000000"/>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b/>
                <w:sz w:val="24"/>
                <w:szCs w:val="24"/>
              </w:rPr>
              <w:t>1 to 4</w:t>
            </w:r>
          </w:p>
        </w:tc>
        <w:tc>
          <w:tcPr>
            <w:tcW w:w="1395" w:type="dxa"/>
            <w:tcBorders>
              <w:top w:val="nil"/>
              <w:left w:val="nil"/>
              <w:bottom w:val="single" w:sz="12"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£250,000 - £999,999</w:t>
            </w:r>
          </w:p>
        </w:tc>
        <w:tc>
          <w:tcPr>
            <w:tcW w:w="1485"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192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900"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795"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900"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810"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r>
      <w:tr w:rsidR="00FE5F7D">
        <w:trPr>
          <w:trHeight w:val="300"/>
        </w:trPr>
        <w:tc>
          <w:tcPr>
            <w:tcW w:w="780" w:type="dxa"/>
            <w:tcBorders>
              <w:top w:val="nil"/>
              <w:left w:val="single" w:sz="12" w:space="0" w:color="000000"/>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b/>
                <w:sz w:val="24"/>
                <w:szCs w:val="24"/>
              </w:rPr>
              <w:t>1 to 4</w:t>
            </w:r>
          </w:p>
        </w:tc>
        <w:tc>
          <w:tcPr>
            <w:tcW w:w="1395" w:type="dxa"/>
            <w:tcBorders>
              <w:top w:val="nil"/>
              <w:left w:val="nil"/>
              <w:bottom w:val="single" w:sz="12"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£1,000,000 - £2,999,999</w:t>
            </w:r>
          </w:p>
        </w:tc>
        <w:tc>
          <w:tcPr>
            <w:tcW w:w="1485"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192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900"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795"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900"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810"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r>
      <w:tr w:rsidR="00FE5F7D">
        <w:trPr>
          <w:trHeight w:val="300"/>
        </w:trPr>
        <w:tc>
          <w:tcPr>
            <w:tcW w:w="780" w:type="dxa"/>
            <w:tcBorders>
              <w:top w:val="nil"/>
              <w:left w:val="single" w:sz="12" w:space="0" w:color="000000"/>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b/>
                <w:sz w:val="24"/>
                <w:szCs w:val="24"/>
              </w:rPr>
              <w:t>1 to 4</w:t>
            </w:r>
          </w:p>
        </w:tc>
        <w:tc>
          <w:tcPr>
            <w:tcW w:w="1395" w:type="dxa"/>
            <w:tcBorders>
              <w:top w:val="nil"/>
              <w:left w:val="nil"/>
              <w:bottom w:val="single" w:sz="12"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£3,000,000 - £4,999,999</w:t>
            </w:r>
          </w:p>
        </w:tc>
        <w:tc>
          <w:tcPr>
            <w:tcW w:w="1485"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192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900"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795"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900"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810"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r>
      <w:tr w:rsidR="00FE5F7D">
        <w:trPr>
          <w:trHeight w:val="300"/>
        </w:trPr>
        <w:tc>
          <w:tcPr>
            <w:tcW w:w="780" w:type="dxa"/>
            <w:tcBorders>
              <w:top w:val="nil"/>
              <w:left w:val="single" w:sz="12" w:space="0" w:color="000000"/>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b/>
                <w:sz w:val="24"/>
                <w:szCs w:val="24"/>
              </w:rPr>
              <w:t>1 to 4</w:t>
            </w:r>
          </w:p>
        </w:tc>
        <w:tc>
          <w:tcPr>
            <w:tcW w:w="1395" w:type="dxa"/>
            <w:tcBorders>
              <w:top w:val="nil"/>
              <w:left w:val="nil"/>
              <w:bottom w:val="single" w:sz="12"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£5,000,000 - £ 9,999,999</w:t>
            </w:r>
          </w:p>
        </w:tc>
        <w:tc>
          <w:tcPr>
            <w:tcW w:w="1485"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192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900"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795"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900"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810"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r>
      <w:tr w:rsidR="00FE5F7D">
        <w:trPr>
          <w:trHeight w:val="300"/>
        </w:trPr>
        <w:tc>
          <w:tcPr>
            <w:tcW w:w="780" w:type="dxa"/>
            <w:tcBorders>
              <w:top w:val="nil"/>
              <w:left w:val="single" w:sz="12" w:space="0" w:color="000000"/>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b/>
                <w:sz w:val="24"/>
                <w:szCs w:val="24"/>
              </w:rPr>
              <w:t>1 to 4</w:t>
            </w:r>
          </w:p>
        </w:tc>
        <w:tc>
          <w:tcPr>
            <w:tcW w:w="1395" w:type="dxa"/>
            <w:tcBorders>
              <w:top w:val="nil"/>
              <w:left w:val="nil"/>
              <w:bottom w:val="single" w:sz="12"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£10,000,000 - £14,999,999</w:t>
            </w:r>
          </w:p>
        </w:tc>
        <w:tc>
          <w:tcPr>
            <w:tcW w:w="1485"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192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900"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795"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900"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810"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r>
      <w:tr w:rsidR="00FE5F7D">
        <w:trPr>
          <w:trHeight w:val="300"/>
        </w:trPr>
        <w:tc>
          <w:tcPr>
            <w:tcW w:w="780" w:type="dxa"/>
            <w:tcBorders>
              <w:top w:val="nil"/>
              <w:left w:val="single" w:sz="12" w:space="0" w:color="000000"/>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b/>
                <w:sz w:val="24"/>
                <w:szCs w:val="24"/>
              </w:rPr>
              <w:t>1 to 4</w:t>
            </w:r>
          </w:p>
        </w:tc>
        <w:tc>
          <w:tcPr>
            <w:tcW w:w="1395" w:type="dxa"/>
            <w:tcBorders>
              <w:top w:val="nil"/>
              <w:left w:val="nil"/>
              <w:bottom w:val="single" w:sz="12"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£15,000,000 - £24,999,999</w:t>
            </w:r>
          </w:p>
        </w:tc>
        <w:tc>
          <w:tcPr>
            <w:tcW w:w="1485"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192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900"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795"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900"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810"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r>
      <w:tr w:rsidR="00FE5F7D">
        <w:trPr>
          <w:trHeight w:val="300"/>
        </w:trPr>
        <w:tc>
          <w:tcPr>
            <w:tcW w:w="780" w:type="dxa"/>
            <w:tcBorders>
              <w:top w:val="nil"/>
              <w:left w:val="single" w:sz="12" w:space="0" w:color="000000"/>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b/>
                <w:sz w:val="24"/>
                <w:szCs w:val="24"/>
              </w:rPr>
              <w:t>1 to 4</w:t>
            </w:r>
          </w:p>
        </w:tc>
        <w:tc>
          <w:tcPr>
            <w:tcW w:w="1395" w:type="dxa"/>
            <w:tcBorders>
              <w:top w:val="nil"/>
              <w:left w:val="nil"/>
              <w:bottom w:val="single" w:sz="12"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£25,000,00</w:t>
            </w:r>
            <w:r>
              <w:rPr>
                <w:rFonts w:ascii="Arial" w:eastAsia="Arial" w:hAnsi="Arial" w:cs="Arial"/>
                <w:sz w:val="24"/>
                <w:szCs w:val="24"/>
              </w:rPr>
              <w:lastRenderedPageBreak/>
              <w:t>0 - £49,999,999</w:t>
            </w:r>
          </w:p>
        </w:tc>
        <w:tc>
          <w:tcPr>
            <w:tcW w:w="1485"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192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900"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795"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900"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810"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r>
      <w:tr w:rsidR="00FE5F7D">
        <w:trPr>
          <w:trHeight w:val="300"/>
        </w:trPr>
        <w:tc>
          <w:tcPr>
            <w:tcW w:w="780" w:type="dxa"/>
            <w:tcBorders>
              <w:top w:val="nil"/>
              <w:left w:val="single" w:sz="12" w:space="0" w:color="000000"/>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b/>
                <w:sz w:val="24"/>
                <w:szCs w:val="24"/>
              </w:rPr>
              <w:t>1 to 4</w:t>
            </w:r>
          </w:p>
        </w:tc>
        <w:tc>
          <w:tcPr>
            <w:tcW w:w="1395" w:type="dxa"/>
            <w:tcBorders>
              <w:top w:val="nil"/>
              <w:left w:val="nil"/>
              <w:bottom w:val="single" w:sz="12"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£50,000,000 - £99,999,999</w:t>
            </w:r>
          </w:p>
        </w:tc>
        <w:tc>
          <w:tcPr>
            <w:tcW w:w="1485"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192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900"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795"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900"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810"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r>
      <w:tr w:rsidR="00FE5F7D">
        <w:trPr>
          <w:trHeight w:val="300"/>
        </w:trPr>
        <w:tc>
          <w:tcPr>
            <w:tcW w:w="780" w:type="dxa"/>
            <w:tcBorders>
              <w:top w:val="nil"/>
              <w:left w:val="single" w:sz="12" w:space="0" w:color="000000"/>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b/>
                <w:sz w:val="24"/>
                <w:szCs w:val="24"/>
              </w:rPr>
              <w:t>1 to 4</w:t>
            </w:r>
          </w:p>
        </w:tc>
        <w:tc>
          <w:tcPr>
            <w:tcW w:w="1395" w:type="dxa"/>
            <w:tcBorders>
              <w:top w:val="nil"/>
              <w:left w:val="nil"/>
              <w:bottom w:val="single" w:sz="12"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£100,000,000 - £149,999,999</w:t>
            </w:r>
          </w:p>
        </w:tc>
        <w:tc>
          <w:tcPr>
            <w:tcW w:w="1485"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192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900"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795"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900"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810" w:type="dxa"/>
            <w:tcBorders>
              <w:top w:val="nil"/>
              <w:left w:val="nil"/>
              <w:bottom w:val="single" w:sz="6"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r>
      <w:tr w:rsidR="00FE5F7D">
        <w:trPr>
          <w:trHeight w:val="300"/>
        </w:trPr>
        <w:tc>
          <w:tcPr>
            <w:tcW w:w="780" w:type="dxa"/>
            <w:tcBorders>
              <w:top w:val="nil"/>
              <w:left w:val="single" w:sz="12" w:space="0" w:color="000000"/>
              <w:bottom w:val="single" w:sz="12"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b/>
                <w:sz w:val="24"/>
                <w:szCs w:val="24"/>
              </w:rPr>
              <w:t>1 to 4</w:t>
            </w:r>
          </w:p>
        </w:tc>
        <w:tc>
          <w:tcPr>
            <w:tcW w:w="1395" w:type="dxa"/>
            <w:tcBorders>
              <w:top w:val="nil"/>
              <w:left w:val="nil"/>
              <w:bottom w:val="single" w:sz="12"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£150,000,000 - £199,999,999</w:t>
            </w:r>
          </w:p>
        </w:tc>
        <w:tc>
          <w:tcPr>
            <w:tcW w:w="1485" w:type="dxa"/>
            <w:tcBorders>
              <w:top w:val="nil"/>
              <w:left w:val="nil"/>
              <w:bottom w:val="single" w:sz="12" w:space="0" w:color="000000"/>
              <w:right w:val="single" w:sz="12"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1920" w:type="dxa"/>
            <w:tcBorders>
              <w:top w:val="nil"/>
              <w:left w:val="nil"/>
              <w:bottom w:val="single" w:sz="12"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900" w:type="dxa"/>
            <w:tcBorders>
              <w:top w:val="nil"/>
              <w:left w:val="nil"/>
              <w:bottom w:val="single" w:sz="12"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795" w:type="dxa"/>
            <w:tcBorders>
              <w:top w:val="nil"/>
              <w:left w:val="nil"/>
              <w:bottom w:val="single" w:sz="12"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900" w:type="dxa"/>
            <w:tcBorders>
              <w:top w:val="nil"/>
              <w:left w:val="nil"/>
              <w:bottom w:val="single" w:sz="12"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810" w:type="dxa"/>
            <w:tcBorders>
              <w:top w:val="nil"/>
              <w:left w:val="nil"/>
              <w:bottom w:val="single" w:sz="12"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r>
      <w:tr w:rsidR="00FE5F7D">
        <w:trPr>
          <w:trHeight w:val="300"/>
        </w:trPr>
        <w:tc>
          <w:tcPr>
            <w:tcW w:w="780" w:type="dxa"/>
            <w:tcBorders>
              <w:top w:val="nil"/>
              <w:left w:val="single" w:sz="12" w:space="0" w:color="000000"/>
              <w:bottom w:val="single" w:sz="12"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b/>
                <w:sz w:val="24"/>
                <w:szCs w:val="24"/>
              </w:rPr>
              <w:t>1 to 4</w:t>
            </w:r>
          </w:p>
        </w:tc>
        <w:tc>
          <w:tcPr>
            <w:tcW w:w="1395" w:type="dxa"/>
            <w:tcBorders>
              <w:top w:val="nil"/>
              <w:left w:val="nil"/>
              <w:bottom w:val="single" w:sz="12"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£200,000,000+</w:t>
            </w:r>
          </w:p>
        </w:tc>
        <w:tc>
          <w:tcPr>
            <w:tcW w:w="1485" w:type="dxa"/>
            <w:tcBorders>
              <w:top w:val="nil"/>
              <w:left w:val="nil"/>
              <w:bottom w:val="single" w:sz="12" w:space="0" w:color="000000"/>
              <w:right w:val="single" w:sz="12"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1920" w:type="dxa"/>
            <w:tcBorders>
              <w:top w:val="nil"/>
              <w:left w:val="nil"/>
              <w:bottom w:val="single" w:sz="12"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900" w:type="dxa"/>
            <w:tcBorders>
              <w:top w:val="nil"/>
              <w:left w:val="nil"/>
              <w:bottom w:val="single" w:sz="12"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795" w:type="dxa"/>
            <w:tcBorders>
              <w:top w:val="nil"/>
              <w:left w:val="nil"/>
              <w:bottom w:val="single" w:sz="12"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900" w:type="dxa"/>
            <w:tcBorders>
              <w:top w:val="nil"/>
              <w:left w:val="nil"/>
              <w:bottom w:val="single" w:sz="12"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c>
          <w:tcPr>
            <w:tcW w:w="810" w:type="dxa"/>
            <w:tcBorders>
              <w:top w:val="nil"/>
              <w:left w:val="nil"/>
              <w:bottom w:val="single" w:sz="12" w:space="0" w:color="000000"/>
              <w:right w:val="single" w:sz="12"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0.00</w:t>
            </w:r>
          </w:p>
        </w:tc>
      </w:tr>
    </w:tbl>
    <w:p w:rsidR="00FE5F7D" w:rsidRDefault="00FE5F7D">
      <w:pPr>
        <w:jc w:val="both"/>
        <w:rPr>
          <w:rFonts w:ascii="Arial" w:eastAsia="Arial" w:hAnsi="Arial" w:cs="Arial"/>
          <w:b/>
          <w:sz w:val="24"/>
          <w:szCs w:val="24"/>
        </w:rPr>
      </w:pPr>
    </w:p>
    <w:p w:rsidR="00FE5F7D" w:rsidRDefault="000A7B70">
      <w:pPr>
        <w:jc w:val="both"/>
        <w:rPr>
          <w:rFonts w:ascii="Arial" w:eastAsia="Arial" w:hAnsi="Arial" w:cs="Arial"/>
          <w:b/>
          <w:sz w:val="24"/>
          <w:szCs w:val="24"/>
        </w:rPr>
      </w:pPr>
      <w:r>
        <w:rPr>
          <w:rFonts w:ascii="Arial" w:eastAsia="Arial" w:hAnsi="Arial" w:cs="Arial"/>
          <w:b/>
          <w:sz w:val="24"/>
          <w:szCs w:val="24"/>
        </w:rPr>
        <w:t>Lot 2 Table 2</w:t>
      </w:r>
    </w:p>
    <w:p w:rsidR="00FE5F7D" w:rsidRDefault="000A7B70">
      <w:pPr>
        <w:jc w:val="both"/>
        <w:rPr>
          <w:rFonts w:ascii="Arial" w:eastAsia="Arial" w:hAnsi="Arial" w:cs="Arial"/>
          <w:sz w:val="24"/>
          <w:szCs w:val="24"/>
        </w:rPr>
      </w:pPr>
      <w:r>
        <w:rPr>
          <w:rFonts w:ascii="Arial" w:eastAsia="Arial" w:hAnsi="Arial" w:cs="Arial"/>
          <w:sz w:val="24"/>
          <w:szCs w:val="24"/>
        </w:rPr>
        <w:t>&lt;to be updated with the Supplier’s tender response for Other Fees and Charges, Acceptable Standard fees and Optional Services&gt;</w:t>
      </w:r>
    </w:p>
    <w:p w:rsidR="00FE5F7D" w:rsidRDefault="00FE5F7D">
      <w:pPr>
        <w:jc w:val="both"/>
        <w:rPr>
          <w:rFonts w:ascii="Arial" w:eastAsia="Arial" w:hAnsi="Arial" w:cs="Arial"/>
          <w:b/>
          <w:sz w:val="24"/>
          <w:szCs w:val="24"/>
        </w:rPr>
      </w:pPr>
    </w:p>
    <w:p w:rsidR="00FE5F7D" w:rsidRDefault="000A7B70">
      <w:pPr>
        <w:jc w:val="both"/>
        <w:rPr>
          <w:rFonts w:ascii="Arial" w:eastAsia="Arial" w:hAnsi="Arial" w:cs="Arial"/>
          <w:b/>
          <w:sz w:val="24"/>
          <w:szCs w:val="24"/>
        </w:rPr>
      </w:pPr>
      <w:r>
        <w:rPr>
          <w:rFonts w:ascii="Arial" w:eastAsia="Arial" w:hAnsi="Arial" w:cs="Arial"/>
          <w:b/>
          <w:sz w:val="24"/>
          <w:szCs w:val="24"/>
        </w:rPr>
        <w:t>Lot 2 Table 3</w:t>
      </w:r>
    </w:p>
    <w:p w:rsidR="00FE5F7D" w:rsidRDefault="000A7B70">
      <w:pPr>
        <w:jc w:val="both"/>
        <w:rPr>
          <w:rFonts w:ascii="Arial" w:eastAsia="Arial" w:hAnsi="Arial" w:cs="Arial"/>
          <w:b/>
          <w:sz w:val="24"/>
          <w:szCs w:val="24"/>
        </w:rPr>
      </w:pPr>
      <w:r>
        <w:rPr>
          <w:rFonts w:ascii="Arial" w:eastAsia="Arial" w:hAnsi="Arial" w:cs="Arial"/>
          <w:sz w:val="24"/>
          <w:szCs w:val="24"/>
        </w:rPr>
        <w:t>&lt;to be updated with the Supplier’s tender response for Early Discount / Special Offer&gt;</w:t>
      </w:r>
    </w:p>
    <w:p w:rsidR="00FE5F7D" w:rsidRDefault="00FE5F7D">
      <w:pPr>
        <w:jc w:val="both"/>
        <w:rPr>
          <w:rFonts w:ascii="Arial" w:eastAsia="Arial" w:hAnsi="Arial" w:cs="Arial"/>
          <w:b/>
          <w:sz w:val="24"/>
          <w:szCs w:val="24"/>
        </w:rPr>
      </w:pPr>
    </w:p>
    <w:p w:rsidR="00FE5F7D" w:rsidRDefault="00FE5F7D">
      <w:pPr>
        <w:jc w:val="both"/>
        <w:rPr>
          <w:rFonts w:ascii="Arial" w:eastAsia="Arial" w:hAnsi="Arial" w:cs="Arial"/>
          <w:b/>
          <w:sz w:val="24"/>
          <w:szCs w:val="24"/>
        </w:rPr>
      </w:pPr>
    </w:p>
    <w:p w:rsidR="00FE5F7D" w:rsidRDefault="000A7B70">
      <w:pPr>
        <w:jc w:val="both"/>
        <w:rPr>
          <w:rFonts w:ascii="Arial" w:eastAsia="Arial" w:hAnsi="Arial" w:cs="Arial"/>
          <w:b/>
          <w:sz w:val="24"/>
          <w:szCs w:val="24"/>
        </w:rPr>
      </w:pPr>
      <w:r>
        <w:rPr>
          <w:rFonts w:ascii="Arial" w:eastAsia="Arial" w:hAnsi="Arial" w:cs="Arial"/>
          <w:b/>
          <w:sz w:val="24"/>
          <w:szCs w:val="24"/>
        </w:rPr>
        <w:t>Annex 2 Lot 2 Prices</w:t>
      </w:r>
    </w:p>
    <w:p w:rsidR="00FE5F7D" w:rsidRDefault="00FE5F7D">
      <w:pPr>
        <w:widowControl w:val="0"/>
        <w:spacing w:after="0" w:line="240" w:lineRule="auto"/>
        <w:ind w:left="720"/>
        <w:jc w:val="both"/>
        <w:rPr>
          <w:rFonts w:ascii="Arial" w:eastAsia="Arial" w:hAnsi="Arial" w:cs="Arial"/>
          <w:b/>
          <w:sz w:val="24"/>
          <w:szCs w:val="24"/>
        </w:rPr>
      </w:pPr>
    </w:p>
    <w:p w:rsidR="00FE5F7D" w:rsidRDefault="000A7B70">
      <w:pPr>
        <w:widowControl w:val="0"/>
        <w:numPr>
          <w:ilvl w:val="0"/>
          <w:numId w:val="1"/>
        </w:numPr>
        <w:spacing w:after="0" w:line="240" w:lineRule="auto"/>
        <w:jc w:val="both"/>
        <w:rPr>
          <w:rFonts w:ascii="Arial" w:eastAsia="Arial" w:hAnsi="Arial" w:cs="Arial"/>
          <w:b/>
          <w:sz w:val="24"/>
          <w:szCs w:val="24"/>
        </w:rPr>
      </w:pPr>
      <w:r>
        <w:rPr>
          <w:rFonts w:ascii="Arial" w:eastAsia="Arial" w:hAnsi="Arial" w:cs="Arial"/>
          <w:b/>
          <w:sz w:val="24"/>
          <w:szCs w:val="24"/>
        </w:rPr>
        <w:t>Pre</w:t>
      </w:r>
      <w:r>
        <w:rPr>
          <w:rFonts w:ascii="Arial" w:eastAsia="Arial" w:hAnsi="Arial" w:cs="Arial"/>
          <w:b/>
          <w:sz w:val="24"/>
          <w:szCs w:val="24"/>
        </w:rPr>
        <w:t>-Paid Physical (Plastic) cards</w:t>
      </w:r>
    </w:p>
    <w:p w:rsidR="00FE5F7D" w:rsidRDefault="00FE5F7D">
      <w:pPr>
        <w:widowControl w:val="0"/>
        <w:spacing w:line="240" w:lineRule="auto"/>
        <w:ind w:left="720"/>
        <w:jc w:val="both"/>
        <w:rPr>
          <w:rFonts w:ascii="Arial" w:eastAsia="Arial" w:hAnsi="Arial" w:cs="Arial"/>
          <w:b/>
          <w:sz w:val="24"/>
          <w:szCs w:val="24"/>
        </w:rPr>
      </w:pPr>
    </w:p>
    <w:p w:rsidR="00FE5F7D" w:rsidRDefault="000A7B70">
      <w:pPr>
        <w:widowControl w:val="0"/>
        <w:numPr>
          <w:ilvl w:val="1"/>
          <w:numId w:val="1"/>
        </w:numPr>
        <w:spacing w:after="0" w:line="240" w:lineRule="auto"/>
        <w:jc w:val="both"/>
        <w:rPr>
          <w:rFonts w:ascii="Arial" w:eastAsia="Arial" w:hAnsi="Arial" w:cs="Arial"/>
          <w:sz w:val="24"/>
          <w:szCs w:val="24"/>
        </w:rPr>
      </w:pPr>
      <w:r>
        <w:rPr>
          <w:rFonts w:ascii="Arial" w:eastAsia="Arial" w:hAnsi="Arial" w:cs="Arial"/>
          <w:sz w:val="24"/>
          <w:szCs w:val="24"/>
        </w:rPr>
        <w:t>The Charges shall be calculated as a + b where;</w:t>
      </w:r>
    </w:p>
    <w:p w:rsidR="00FE5F7D" w:rsidRDefault="00FE5F7D">
      <w:pPr>
        <w:widowControl w:val="0"/>
        <w:spacing w:after="0" w:line="240" w:lineRule="auto"/>
        <w:ind w:left="1440"/>
        <w:jc w:val="both"/>
        <w:rPr>
          <w:rFonts w:ascii="Arial" w:eastAsia="Arial" w:hAnsi="Arial" w:cs="Arial"/>
          <w:sz w:val="24"/>
          <w:szCs w:val="24"/>
        </w:rPr>
      </w:pPr>
    </w:p>
    <w:p w:rsidR="00FE5F7D" w:rsidRDefault="000A7B70">
      <w:pPr>
        <w:widowControl w:val="0"/>
        <w:spacing w:after="0" w:line="240" w:lineRule="auto"/>
        <w:ind w:left="1440"/>
        <w:jc w:val="both"/>
        <w:rPr>
          <w:rFonts w:ascii="Arial" w:eastAsia="Arial" w:hAnsi="Arial" w:cs="Arial"/>
          <w:sz w:val="24"/>
          <w:szCs w:val="24"/>
        </w:rPr>
      </w:pPr>
      <w:r>
        <w:rPr>
          <w:rFonts w:ascii="Arial" w:eastAsia="Arial" w:hAnsi="Arial" w:cs="Arial"/>
          <w:sz w:val="24"/>
          <w:szCs w:val="24"/>
        </w:rPr>
        <w:t xml:space="preserve"> a = The Fixed Fee Per Card Services</w:t>
      </w:r>
    </w:p>
    <w:p w:rsidR="00FE5F7D" w:rsidRDefault="000A7B70">
      <w:pPr>
        <w:widowControl w:val="0"/>
        <w:spacing w:after="0" w:line="240" w:lineRule="auto"/>
        <w:ind w:left="1440"/>
        <w:jc w:val="both"/>
        <w:rPr>
          <w:rFonts w:ascii="Arial" w:eastAsia="Arial" w:hAnsi="Arial" w:cs="Arial"/>
          <w:sz w:val="24"/>
          <w:szCs w:val="24"/>
        </w:rPr>
      </w:pPr>
      <w:r>
        <w:rPr>
          <w:rFonts w:ascii="Arial" w:eastAsia="Arial" w:hAnsi="Arial" w:cs="Arial"/>
          <w:sz w:val="24"/>
          <w:szCs w:val="24"/>
        </w:rPr>
        <w:t xml:space="preserve"> b = The Initial Set up Costs</w:t>
      </w:r>
    </w:p>
    <w:p w:rsidR="00FE5F7D" w:rsidRDefault="00FE5F7D">
      <w:pPr>
        <w:widowControl w:val="0"/>
        <w:spacing w:after="0" w:line="240" w:lineRule="auto"/>
        <w:ind w:left="1440"/>
        <w:jc w:val="both"/>
        <w:rPr>
          <w:rFonts w:ascii="Arial" w:eastAsia="Arial" w:hAnsi="Arial" w:cs="Arial"/>
          <w:sz w:val="24"/>
          <w:szCs w:val="24"/>
        </w:rPr>
      </w:pPr>
    </w:p>
    <w:p w:rsidR="00FE5F7D" w:rsidRDefault="000A7B70">
      <w:pPr>
        <w:widowControl w:val="0"/>
        <w:numPr>
          <w:ilvl w:val="1"/>
          <w:numId w:val="1"/>
        </w:numPr>
        <w:spacing w:after="0" w:line="240" w:lineRule="auto"/>
        <w:jc w:val="both"/>
        <w:rPr>
          <w:rFonts w:ascii="Arial" w:eastAsia="Arial" w:hAnsi="Arial" w:cs="Arial"/>
          <w:sz w:val="24"/>
          <w:szCs w:val="24"/>
        </w:rPr>
      </w:pPr>
      <w:r>
        <w:rPr>
          <w:rFonts w:ascii="Arial" w:eastAsia="Arial" w:hAnsi="Arial" w:cs="Arial"/>
          <w:sz w:val="24"/>
          <w:szCs w:val="24"/>
        </w:rPr>
        <w:t>The Charges for Reloadable Cards are a Monthly Fixed Fee Per Card Service and shall be calculated by the Su</w:t>
      </w:r>
      <w:r>
        <w:rPr>
          <w:rFonts w:ascii="Arial" w:eastAsia="Arial" w:hAnsi="Arial" w:cs="Arial"/>
          <w:sz w:val="24"/>
          <w:szCs w:val="24"/>
        </w:rPr>
        <w:t xml:space="preserve">pplier on a monthly basis </w:t>
      </w:r>
      <w:r>
        <w:rPr>
          <w:rFonts w:ascii="Arial" w:eastAsia="Arial" w:hAnsi="Arial" w:cs="Arial"/>
          <w:sz w:val="24"/>
          <w:szCs w:val="24"/>
        </w:rPr>
        <w:lastRenderedPageBreak/>
        <w:t xml:space="preserve">following production of the Card, using the Lot 2 Table 1 below. </w:t>
      </w:r>
    </w:p>
    <w:p w:rsidR="00FE5F7D" w:rsidRDefault="00FE5F7D">
      <w:pPr>
        <w:widowControl w:val="0"/>
        <w:spacing w:after="0" w:line="240" w:lineRule="auto"/>
        <w:ind w:left="1440"/>
        <w:jc w:val="both"/>
        <w:rPr>
          <w:rFonts w:ascii="Arial" w:eastAsia="Arial" w:hAnsi="Arial" w:cs="Arial"/>
          <w:sz w:val="24"/>
          <w:szCs w:val="24"/>
        </w:rPr>
      </w:pPr>
    </w:p>
    <w:p w:rsidR="00FE5F7D" w:rsidRDefault="000A7B70">
      <w:pPr>
        <w:widowControl w:val="0"/>
        <w:numPr>
          <w:ilvl w:val="1"/>
          <w:numId w:val="1"/>
        </w:numPr>
        <w:spacing w:after="0" w:line="240" w:lineRule="auto"/>
        <w:jc w:val="both"/>
        <w:rPr>
          <w:rFonts w:ascii="Arial" w:eastAsia="Arial" w:hAnsi="Arial" w:cs="Arial"/>
          <w:sz w:val="24"/>
          <w:szCs w:val="24"/>
        </w:rPr>
      </w:pPr>
      <w:r>
        <w:rPr>
          <w:rFonts w:ascii="Arial" w:eastAsia="Arial" w:hAnsi="Arial" w:cs="Arial"/>
          <w:sz w:val="24"/>
          <w:szCs w:val="24"/>
        </w:rPr>
        <w:t>The Charges for both Limited Load and Limited Use Cards are One-Off Charges that shall be calculated by the Supplier using Lot 2 Table 1 below, in the month within</w:t>
      </w:r>
      <w:r>
        <w:rPr>
          <w:rFonts w:ascii="Arial" w:eastAsia="Arial" w:hAnsi="Arial" w:cs="Arial"/>
          <w:sz w:val="24"/>
          <w:szCs w:val="24"/>
        </w:rPr>
        <w:t xml:space="preserve"> which the Card is requested by the Buyer.</w:t>
      </w:r>
    </w:p>
    <w:p w:rsidR="00FE5F7D" w:rsidRDefault="00FE5F7D">
      <w:pPr>
        <w:widowControl w:val="0"/>
        <w:spacing w:after="0" w:line="240" w:lineRule="auto"/>
        <w:ind w:left="720"/>
        <w:jc w:val="both"/>
        <w:rPr>
          <w:rFonts w:ascii="Arial" w:eastAsia="Arial" w:hAnsi="Arial" w:cs="Arial"/>
          <w:sz w:val="24"/>
          <w:szCs w:val="24"/>
        </w:rPr>
      </w:pPr>
    </w:p>
    <w:p w:rsidR="00FE5F7D" w:rsidRDefault="000A7B70">
      <w:pPr>
        <w:widowControl w:val="0"/>
        <w:numPr>
          <w:ilvl w:val="1"/>
          <w:numId w:val="1"/>
        </w:numPr>
        <w:spacing w:after="0" w:line="240" w:lineRule="auto"/>
        <w:jc w:val="both"/>
        <w:rPr>
          <w:rFonts w:ascii="Arial" w:eastAsia="Arial" w:hAnsi="Arial" w:cs="Arial"/>
          <w:sz w:val="24"/>
          <w:szCs w:val="24"/>
        </w:rPr>
      </w:pPr>
      <w:r>
        <w:rPr>
          <w:rFonts w:ascii="Arial" w:eastAsia="Arial" w:hAnsi="Arial" w:cs="Arial"/>
          <w:sz w:val="24"/>
          <w:szCs w:val="24"/>
        </w:rPr>
        <w:t xml:space="preserve">Charges shall not be payable on any card that has expired or has been requested to be cancelled / closed by the Buyer. In these circumstances the Charges shall be calculated up until the point that the Card expires or the buyer has requested cancellation. </w:t>
      </w:r>
      <w:r>
        <w:rPr>
          <w:rFonts w:ascii="Arial" w:eastAsia="Arial" w:hAnsi="Arial" w:cs="Arial"/>
          <w:sz w:val="24"/>
          <w:szCs w:val="24"/>
        </w:rPr>
        <w:t>In these circumstances the Charges for the service shall be calculated on a pro-rata basis for any incomplete months</w:t>
      </w:r>
    </w:p>
    <w:p w:rsidR="00FE5F7D" w:rsidRDefault="000A7B70">
      <w:pPr>
        <w:widowControl w:val="0"/>
        <w:spacing w:after="0" w:line="240" w:lineRule="auto"/>
        <w:jc w:val="both"/>
        <w:rPr>
          <w:rFonts w:ascii="Arial" w:eastAsia="Arial" w:hAnsi="Arial" w:cs="Arial"/>
          <w:sz w:val="24"/>
          <w:szCs w:val="24"/>
        </w:rPr>
      </w:pPr>
      <w:r>
        <w:rPr>
          <w:rFonts w:ascii="Arial" w:eastAsia="Arial" w:hAnsi="Arial" w:cs="Arial"/>
          <w:sz w:val="24"/>
          <w:szCs w:val="24"/>
        </w:rPr>
        <w:t xml:space="preserve"> </w:t>
      </w:r>
    </w:p>
    <w:p w:rsidR="00FE5F7D" w:rsidRDefault="000A7B70">
      <w:pPr>
        <w:widowControl w:val="0"/>
        <w:numPr>
          <w:ilvl w:val="1"/>
          <w:numId w:val="1"/>
        </w:numPr>
        <w:spacing w:line="240" w:lineRule="auto"/>
        <w:jc w:val="both"/>
        <w:rPr>
          <w:rFonts w:ascii="Arial" w:eastAsia="Arial" w:hAnsi="Arial" w:cs="Arial"/>
          <w:sz w:val="24"/>
          <w:szCs w:val="24"/>
        </w:rPr>
      </w:pPr>
      <w:r>
        <w:rPr>
          <w:rFonts w:ascii="Arial" w:eastAsia="Arial" w:hAnsi="Arial" w:cs="Arial"/>
          <w:sz w:val="24"/>
          <w:szCs w:val="24"/>
        </w:rPr>
        <w:t>The Initial Set-Up Cost is a One Off Cost that will be calculated using the table 1 below. This shall be Charged following the Buyer’s co</w:t>
      </w:r>
      <w:r>
        <w:rPr>
          <w:rFonts w:ascii="Arial" w:eastAsia="Arial" w:hAnsi="Arial" w:cs="Arial"/>
          <w:sz w:val="24"/>
          <w:szCs w:val="24"/>
        </w:rPr>
        <w:t>nfirmation in writing that Set-up has been completed.</w:t>
      </w:r>
    </w:p>
    <w:p w:rsidR="00FE5F7D" w:rsidRDefault="00FE5F7D">
      <w:pPr>
        <w:widowControl w:val="0"/>
        <w:spacing w:line="240" w:lineRule="auto"/>
        <w:ind w:left="1440"/>
        <w:jc w:val="both"/>
        <w:rPr>
          <w:rFonts w:ascii="Arial" w:eastAsia="Arial" w:hAnsi="Arial" w:cs="Arial"/>
          <w:sz w:val="24"/>
          <w:szCs w:val="24"/>
        </w:rPr>
      </w:pPr>
    </w:p>
    <w:p w:rsidR="00FE5F7D" w:rsidRDefault="000A7B70">
      <w:pPr>
        <w:widowControl w:val="0"/>
        <w:numPr>
          <w:ilvl w:val="1"/>
          <w:numId w:val="1"/>
        </w:numPr>
        <w:spacing w:after="0" w:line="240" w:lineRule="auto"/>
        <w:jc w:val="both"/>
        <w:rPr>
          <w:rFonts w:ascii="Arial" w:eastAsia="Arial" w:hAnsi="Arial" w:cs="Arial"/>
          <w:b/>
          <w:sz w:val="24"/>
          <w:szCs w:val="24"/>
        </w:rPr>
      </w:pPr>
      <w:r>
        <w:rPr>
          <w:rFonts w:ascii="Arial" w:eastAsia="Arial" w:hAnsi="Arial" w:cs="Arial"/>
          <w:b/>
          <w:sz w:val="24"/>
          <w:szCs w:val="24"/>
        </w:rPr>
        <w:t>Aggregation</w:t>
      </w:r>
    </w:p>
    <w:p w:rsidR="00FE5F7D" w:rsidRDefault="00FE5F7D">
      <w:pPr>
        <w:widowControl w:val="0"/>
        <w:spacing w:line="240" w:lineRule="auto"/>
        <w:ind w:left="1440"/>
        <w:jc w:val="both"/>
        <w:rPr>
          <w:rFonts w:ascii="Arial" w:eastAsia="Arial" w:hAnsi="Arial" w:cs="Arial"/>
          <w:sz w:val="24"/>
          <w:szCs w:val="24"/>
        </w:rPr>
      </w:pPr>
    </w:p>
    <w:p w:rsidR="00FE5F7D" w:rsidRDefault="000A7B70">
      <w:pPr>
        <w:widowControl w:val="0"/>
        <w:numPr>
          <w:ilvl w:val="2"/>
          <w:numId w:val="1"/>
        </w:numPr>
        <w:spacing w:after="0" w:line="240" w:lineRule="auto"/>
        <w:jc w:val="both"/>
        <w:rPr>
          <w:rFonts w:ascii="Arial" w:eastAsia="Arial" w:hAnsi="Arial" w:cs="Arial"/>
          <w:sz w:val="24"/>
          <w:szCs w:val="24"/>
        </w:rPr>
      </w:pPr>
      <w:r>
        <w:rPr>
          <w:rFonts w:ascii="Arial" w:eastAsia="Arial" w:hAnsi="Arial" w:cs="Arial"/>
          <w:sz w:val="24"/>
          <w:szCs w:val="24"/>
        </w:rPr>
        <w:t>If a Buyer places more than 1 order for the same service during any fixed twelve-month period commencing from the Call-Off Contract Commencement Date, at any point during the Call-Off Cont</w:t>
      </w:r>
      <w:r>
        <w:rPr>
          <w:rFonts w:ascii="Arial" w:eastAsia="Arial" w:hAnsi="Arial" w:cs="Arial"/>
          <w:sz w:val="24"/>
          <w:szCs w:val="24"/>
        </w:rPr>
        <w:t xml:space="preserve">ract Period then the volume of Cards used to calculate the Charges using Table 1 below, shall be the cumulative volume of Cards that the Buyer has ordered across all orders. </w:t>
      </w:r>
    </w:p>
    <w:p w:rsidR="00FE5F7D" w:rsidRDefault="000A7B70">
      <w:pPr>
        <w:widowControl w:val="0"/>
        <w:spacing w:after="0" w:line="240" w:lineRule="auto"/>
        <w:ind w:left="2160"/>
        <w:jc w:val="both"/>
        <w:rPr>
          <w:rFonts w:ascii="Arial" w:eastAsia="Arial" w:hAnsi="Arial" w:cs="Arial"/>
          <w:sz w:val="24"/>
          <w:szCs w:val="24"/>
        </w:rPr>
      </w:pPr>
      <w:r>
        <w:rPr>
          <w:rFonts w:ascii="Arial" w:eastAsia="Arial" w:hAnsi="Arial" w:cs="Arial"/>
          <w:sz w:val="24"/>
          <w:szCs w:val="24"/>
        </w:rPr>
        <w:t xml:space="preserve"> </w:t>
      </w:r>
    </w:p>
    <w:p w:rsidR="00FE5F7D" w:rsidRDefault="000A7B70">
      <w:pPr>
        <w:widowControl w:val="0"/>
        <w:numPr>
          <w:ilvl w:val="2"/>
          <w:numId w:val="1"/>
        </w:numPr>
        <w:spacing w:after="0" w:line="240" w:lineRule="auto"/>
        <w:jc w:val="both"/>
        <w:rPr>
          <w:rFonts w:ascii="Arial" w:eastAsia="Arial" w:hAnsi="Arial" w:cs="Arial"/>
          <w:sz w:val="24"/>
          <w:szCs w:val="24"/>
        </w:rPr>
      </w:pPr>
      <w:r>
        <w:rPr>
          <w:rFonts w:ascii="Arial" w:eastAsia="Arial" w:hAnsi="Arial" w:cs="Arial"/>
          <w:sz w:val="24"/>
          <w:szCs w:val="24"/>
        </w:rPr>
        <w:t>The Supplier will calculate the Charges as per paragraph 1.6.1 above from the point the order is placed and any invoice the Supplier submits to the Buyer shall accurately reflect this calculation.</w:t>
      </w:r>
    </w:p>
    <w:p w:rsidR="00FE5F7D" w:rsidRDefault="000A7B70">
      <w:pPr>
        <w:widowControl w:val="0"/>
        <w:spacing w:after="0" w:line="240" w:lineRule="auto"/>
        <w:ind w:left="2160"/>
        <w:jc w:val="both"/>
        <w:rPr>
          <w:rFonts w:ascii="Arial" w:eastAsia="Arial" w:hAnsi="Arial" w:cs="Arial"/>
          <w:sz w:val="24"/>
          <w:szCs w:val="24"/>
        </w:rPr>
      </w:pPr>
      <w:r>
        <w:rPr>
          <w:rFonts w:ascii="Arial" w:eastAsia="Arial" w:hAnsi="Arial" w:cs="Arial"/>
          <w:sz w:val="24"/>
          <w:szCs w:val="24"/>
        </w:rPr>
        <w:t xml:space="preserve"> </w:t>
      </w:r>
    </w:p>
    <w:p w:rsidR="00FE5F7D" w:rsidRDefault="000A7B70">
      <w:pPr>
        <w:widowControl w:val="0"/>
        <w:numPr>
          <w:ilvl w:val="2"/>
          <w:numId w:val="1"/>
        </w:numPr>
        <w:spacing w:after="0" w:line="240" w:lineRule="auto"/>
        <w:jc w:val="both"/>
        <w:rPr>
          <w:rFonts w:ascii="Arial" w:eastAsia="Arial" w:hAnsi="Arial" w:cs="Arial"/>
          <w:sz w:val="24"/>
          <w:szCs w:val="24"/>
        </w:rPr>
      </w:pPr>
      <w:r>
        <w:rPr>
          <w:rFonts w:ascii="Arial" w:eastAsia="Arial" w:hAnsi="Arial" w:cs="Arial"/>
          <w:sz w:val="24"/>
          <w:szCs w:val="24"/>
        </w:rPr>
        <w:t>The following is a worked example for illustrative purpos</w:t>
      </w:r>
      <w:r>
        <w:rPr>
          <w:rFonts w:ascii="Arial" w:eastAsia="Arial" w:hAnsi="Arial" w:cs="Arial"/>
          <w:sz w:val="24"/>
          <w:szCs w:val="24"/>
        </w:rPr>
        <w:t>es only:</w:t>
      </w:r>
    </w:p>
    <w:p w:rsidR="00FE5F7D" w:rsidRDefault="000A7B70">
      <w:pPr>
        <w:widowControl w:val="0"/>
        <w:spacing w:after="0" w:line="240" w:lineRule="auto"/>
        <w:ind w:left="2160"/>
        <w:jc w:val="both"/>
        <w:rPr>
          <w:rFonts w:ascii="Arial" w:eastAsia="Arial" w:hAnsi="Arial" w:cs="Arial"/>
          <w:sz w:val="24"/>
          <w:szCs w:val="24"/>
        </w:rPr>
      </w:pPr>
      <w:r>
        <w:rPr>
          <w:rFonts w:ascii="Arial" w:eastAsia="Arial" w:hAnsi="Arial" w:cs="Arial"/>
          <w:sz w:val="24"/>
          <w:szCs w:val="24"/>
        </w:rPr>
        <w:t xml:space="preserve"> </w:t>
      </w:r>
    </w:p>
    <w:p w:rsidR="00FE5F7D" w:rsidRDefault="000A7B70">
      <w:pPr>
        <w:widowControl w:val="0"/>
        <w:numPr>
          <w:ilvl w:val="3"/>
          <w:numId w:val="1"/>
        </w:numPr>
        <w:spacing w:after="0" w:line="240" w:lineRule="auto"/>
        <w:jc w:val="both"/>
        <w:rPr>
          <w:rFonts w:ascii="Arial" w:eastAsia="Arial" w:hAnsi="Arial" w:cs="Arial"/>
          <w:sz w:val="24"/>
          <w:szCs w:val="24"/>
        </w:rPr>
      </w:pPr>
      <w:r>
        <w:rPr>
          <w:rFonts w:ascii="Arial" w:eastAsia="Arial" w:hAnsi="Arial" w:cs="Arial"/>
          <w:sz w:val="24"/>
          <w:szCs w:val="24"/>
        </w:rPr>
        <w:t>If the Buyer orders 500 Reloadable cards at the Call off Contract Commencement Date and the corresponding price is £3 per Card per month, then the Buyer will be Charged £1500 per month</w:t>
      </w:r>
    </w:p>
    <w:p w:rsidR="00FE5F7D" w:rsidRDefault="000A7B70">
      <w:pPr>
        <w:widowControl w:val="0"/>
        <w:spacing w:after="0" w:line="240" w:lineRule="auto"/>
        <w:ind w:left="2160"/>
        <w:jc w:val="both"/>
        <w:rPr>
          <w:rFonts w:ascii="Arial" w:eastAsia="Arial" w:hAnsi="Arial" w:cs="Arial"/>
          <w:sz w:val="24"/>
          <w:szCs w:val="24"/>
        </w:rPr>
      </w:pPr>
      <w:r>
        <w:rPr>
          <w:rFonts w:ascii="Arial" w:eastAsia="Arial" w:hAnsi="Arial" w:cs="Arial"/>
          <w:sz w:val="24"/>
          <w:szCs w:val="24"/>
        </w:rPr>
        <w:t xml:space="preserve"> </w:t>
      </w:r>
    </w:p>
    <w:p w:rsidR="00FE5F7D" w:rsidRDefault="000A7B70">
      <w:pPr>
        <w:widowControl w:val="0"/>
        <w:numPr>
          <w:ilvl w:val="3"/>
          <w:numId w:val="1"/>
        </w:numPr>
        <w:spacing w:after="0" w:line="240" w:lineRule="auto"/>
        <w:jc w:val="both"/>
        <w:rPr>
          <w:rFonts w:ascii="Arial" w:eastAsia="Arial" w:hAnsi="Arial" w:cs="Arial"/>
          <w:sz w:val="24"/>
          <w:szCs w:val="24"/>
        </w:rPr>
      </w:pPr>
      <w:r>
        <w:rPr>
          <w:rFonts w:ascii="Arial" w:eastAsia="Arial" w:hAnsi="Arial" w:cs="Arial"/>
          <w:sz w:val="24"/>
          <w:szCs w:val="24"/>
        </w:rPr>
        <w:t xml:space="preserve">If the Buyer places a subsequent order for 500 Reloadable </w:t>
      </w:r>
      <w:r>
        <w:rPr>
          <w:rFonts w:ascii="Arial" w:eastAsia="Arial" w:hAnsi="Arial" w:cs="Arial"/>
          <w:sz w:val="24"/>
          <w:szCs w:val="24"/>
        </w:rPr>
        <w:t>Cards six months after the Call-Off Commencement Date and the price per Card per month for 1000 Cards is £2.90, the Buyer would then be Charged £2.90 per month per Card for all Reloadable cards or £2900 per month, from the time the 2nd order became payable</w:t>
      </w:r>
      <w:r>
        <w:rPr>
          <w:rFonts w:ascii="Arial" w:eastAsia="Arial" w:hAnsi="Arial" w:cs="Arial"/>
          <w:sz w:val="24"/>
          <w:szCs w:val="24"/>
        </w:rPr>
        <w:t xml:space="preserve">. This is because both of the Orders were within twelve months of the Call-Off Commencement date. </w:t>
      </w:r>
    </w:p>
    <w:p w:rsidR="00FE5F7D" w:rsidRDefault="000A7B70">
      <w:pPr>
        <w:widowControl w:val="0"/>
        <w:spacing w:after="0" w:line="240" w:lineRule="auto"/>
        <w:ind w:left="2160"/>
        <w:jc w:val="both"/>
        <w:rPr>
          <w:rFonts w:ascii="Arial" w:eastAsia="Arial" w:hAnsi="Arial" w:cs="Arial"/>
          <w:sz w:val="24"/>
          <w:szCs w:val="24"/>
        </w:rPr>
      </w:pPr>
      <w:r>
        <w:rPr>
          <w:rFonts w:ascii="Arial" w:eastAsia="Arial" w:hAnsi="Arial" w:cs="Arial"/>
          <w:sz w:val="24"/>
          <w:szCs w:val="24"/>
        </w:rPr>
        <w:lastRenderedPageBreak/>
        <w:t xml:space="preserve"> </w:t>
      </w:r>
    </w:p>
    <w:p w:rsidR="00FE5F7D" w:rsidRDefault="000A7B70">
      <w:pPr>
        <w:widowControl w:val="0"/>
        <w:numPr>
          <w:ilvl w:val="3"/>
          <w:numId w:val="1"/>
        </w:numPr>
        <w:spacing w:after="0" w:line="240" w:lineRule="auto"/>
        <w:jc w:val="both"/>
        <w:rPr>
          <w:rFonts w:ascii="Arial" w:eastAsia="Arial" w:hAnsi="Arial" w:cs="Arial"/>
          <w:sz w:val="24"/>
          <w:szCs w:val="24"/>
        </w:rPr>
      </w:pPr>
      <w:r>
        <w:rPr>
          <w:rFonts w:ascii="Arial" w:eastAsia="Arial" w:hAnsi="Arial" w:cs="Arial"/>
          <w:sz w:val="24"/>
          <w:szCs w:val="24"/>
        </w:rPr>
        <w:t>If the Buyer places a third Order for 1000 Reloadable Cards thirteen months after the Call-Off Commencement Date, the price for this order would be based o</w:t>
      </w:r>
      <w:r>
        <w:rPr>
          <w:rFonts w:ascii="Arial" w:eastAsia="Arial" w:hAnsi="Arial" w:cs="Arial"/>
          <w:sz w:val="24"/>
          <w:szCs w:val="24"/>
        </w:rPr>
        <w:t>n the Table 1 price for 1000 Reloadable Cards. This is because the third Order occurred in a different 12month period. The previous Orders would continue to be charged based on the cumulative volumes. The monthly Charges from the point the third Order beco</w:t>
      </w:r>
      <w:r>
        <w:rPr>
          <w:rFonts w:ascii="Arial" w:eastAsia="Arial" w:hAnsi="Arial" w:cs="Arial"/>
          <w:sz w:val="24"/>
          <w:szCs w:val="24"/>
        </w:rPr>
        <w:t>mes Chargeable would be calculated as follows</w:t>
      </w:r>
    </w:p>
    <w:p w:rsidR="00FE5F7D" w:rsidRDefault="00FE5F7D">
      <w:pPr>
        <w:widowControl w:val="0"/>
        <w:spacing w:after="0" w:line="240" w:lineRule="auto"/>
        <w:ind w:left="2160"/>
        <w:jc w:val="both"/>
        <w:rPr>
          <w:rFonts w:ascii="Arial" w:eastAsia="Arial" w:hAnsi="Arial" w:cs="Arial"/>
          <w:sz w:val="24"/>
          <w:szCs w:val="24"/>
        </w:rPr>
      </w:pPr>
    </w:p>
    <w:p w:rsidR="00FE5F7D" w:rsidRDefault="000A7B70">
      <w:pPr>
        <w:widowControl w:val="0"/>
        <w:numPr>
          <w:ilvl w:val="0"/>
          <w:numId w:val="2"/>
        </w:numPr>
        <w:spacing w:after="0" w:line="240" w:lineRule="auto"/>
        <w:jc w:val="both"/>
        <w:rPr>
          <w:rFonts w:ascii="Arial" w:eastAsia="Arial" w:hAnsi="Arial" w:cs="Arial"/>
          <w:sz w:val="24"/>
          <w:szCs w:val="24"/>
        </w:rPr>
      </w:pPr>
      <w:r>
        <w:rPr>
          <w:rFonts w:ascii="Arial" w:eastAsia="Arial" w:hAnsi="Arial" w:cs="Arial"/>
          <w:sz w:val="24"/>
          <w:szCs w:val="24"/>
        </w:rPr>
        <w:t>Order 1 - 500 cards x £2.90 = £1450</w:t>
      </w:r>
    </w:p>
    <w:p w:rsidR="00FE5F7D" w:rsidRDefault="000A7B70">
      <w:pPr>
        <w:widowControl w:val="0"/>
        <w:numPr>
          <w:ilvl w:val="0"/>
          <w:numId w:val="2"/>
        </w:numPr>
        <w:spacing w:after="0" w:line="240" w:lineRule="auto"/>
        <w:jc w:val="both"/>
        <w:rPr>
          <w:rFonts w:ascii="Arial" w:eastAsia="Arial" w:hAnsi="Arial" w:cs="Arial"/>
          <w:sz w:val="24"/>
          <w:szCs w:val="24"/>
        </w:rPr>
      </w:pPr>
      <w:r>
        <w:rPr>
          <w:rFonts w:ascii="Arial" w:eastAsia="Arial" w:hAnsi="Arial" w:cs="Arial"/>
          <w:sz w:val="24"/>
          <w:szCs w:val="24"/>
        </w:rPr>
        <w:t>Order 2 - 500 Cards x £2.90 = £1450</w:t>
      </w:r>
    </w:p>
    <w:p w:rsidR="00FE5F7D" w:rsidRDefault="000A7B70">
      <w:pPr>
        <w:widowControl w:val="0"/>
        <w:numPr>
          <w:ilvl w:val="0"/>
          <w:numId w:val="2"/>
        </w:numPr>
        <w:spacing w:after="0" w:line="240" w:lineRule="auto"/>
        <w:jc w:val="both"/>
        <w:rPr>
          <w:rFonts w:ascii="Arial" w:eastAsia="Arial" w:hAnsi="Arial" w:cs="Arial"/>
          <w:sz w:val="24"/>
          <w:szCs w:val="24"/>
        </w:rPr>
      </w:pPr>
      <w:r>
        <w:rPr>
          <w:rFonts w:ascii="Arial" w:eastAsia="Arial" w:hAnsi="Arial" w:cs="Arial"/>
          <w:sz w:val="24"/>
          <w:szCs w:val="24"/>
        </w:rPr>
        <w:t>Order 3 - 1000 Cards x £2.90 = £2900</w:t>
      </w:r>
    </w:p>
    <w:p w:rsidR="00FE5F7D" w:rsidRDefault="000A7B70">
      <w:pPr>
        <w:widowControl w:val="0"/>
        <w:numPr>
          <w:ilvl w:val="0"/>
          <w:numId w:val="2"/>
        </w:numPr>
        <w:spacing w:line="240" w:lineRule="auto"/>
        <w:jc w:val="both"/>
        <w:rPr>
          <w:rFonts w:ascii="Arial" w:eastAsia="Arial" w:hAnsi="Arial" w:cs="Arial"/>
          <w:sz w:val="24"/>
          <w:szCs w:val="24"/>
        </w:rPr>
      </w:pPr>
      <w:r>
        <w:rPr>
          <w:rFonts w:ascii="Arial" w:eastAsia="Arial" w:hAnsi="Arial" w:cs="Arial"/>
          <w:sz w:val="24"/>
          <w:szCs w:val="24"/>
        </w:rPr>
        <w:t>Total = £5800</w:t>
      </w:r>
    </w:p>
    <w:p w:rsidR="00FE5F7D" w:rsidRDefault="000A7B70">
      <w:pPr>
        <w:widowControl w:val="0"/>
        <w:spacing w:after="0" w:line="240" w:lineRule="auto"/>
        <w:ind w:left="2160"/>
        <w:jc w:val="both"/>
        <w:rPr>
          <w:rFonts w:ascii="Arial" w:eastAsia="Arial" w:hAnsi="Arial" w:cs="Arial"/>
          <w:sz w:val="24"/>
          <w:szCs w:val="24"/>
        </w:rPr>
      </w:pPr>
      <w:r>
        <w:rPr>
          <w:rFonts w:ascii="Arial" w:eastAsia="Arial" w:hAnsi="Arial" w:cs="Arial"/>
          <w:sz w:val="24"/>
          <w:szCs w:val="24"/>
        </w:rPr>
        <w:t xml:space="preserve"> </w:t>
      </w:r>
    </w:p>
    <w:p w:rsidR="00FE5F7D" w:rsidRDefault="000A7B70">
      <w:pPr>
        <w:widowControl w:val="0"/>
        <w:numPr>
          <w:ilvl w:val="2"/>
          <w:numId w:val="1"/>
        </w:numPr>
        <w:spacing w:after="0" w:line="240" w:lineRule="auto"/>
        <w:jc w:val="both"/>
        <w:rPr>
          <w:rFonts w:ascii="Arial" w:eastAsia="Arial" w:hAnsi="Arial" w:cs="Arial"/>
          <w:sz w:val="24"/>
          <w:szCs w:val="24"/>
        </w:rPr>
      </w:pPr>
      <w:r>
        <w:rPr>
          <w:rFonts w:ascii="Arial" w:eastAsia="Arial" w:hAnsi="Arial" w:cs="Arial"/>
          <w:sz w:val="24"/>
          <w:szCs w:val="24"/>
        </w:rPr>
        <w:t xml:space="preserve">If in the example above the Orders were placed for Limited Load Instant Use Cards or Virtual Cards, then the Charges would be One-Off Charges. </w:t>
      </w:r>
    </w:p>
    <w:p w:rsidR="00FE5F7D" w:rsidRDefault="000A7B70">
      <w:pPr>
        <w:widowControl w:val="0"/>
        <w:spacing w:after="0" w:line="240" w:lineRule="auto"/>
        <w:ind w:left="2160"/>
        <w:jc w:val="both"/>
        <w:rPr>
          <w:rFonts w:ascii="Arial" w:eastAsia="Arial" w:hAnsi="Arial" w:cs="Arial"/>
          <w:sz w:val="24"/>
          <w:szCs w:val="24"/>
        </w:rPr>
      </w:pPr>
      <w:r>
        <w:rPr>
          <w:rFonts w:ascii="Arial" w:eastAsia="Arial" w:hAnsi="Arial" w:cs="Arial"/>
          <w:sz w:val="24"/>
          <w:szCs w:val="24"/>
        </w:rPr>
        <w:t xml:space="preserve"> </w:t>
      </w:r>
    </w:p>
    <w:p w:rsidR="00FE5F7D" w:rsidRDefault="000A7B70">
      <w:pPr>
        <w:widowControl w:val="0"/>
        <w:numPr>
          <w:ilvl w:val="2"/>
          <w:numId w:val="1"/>
        </w:numPr>
        <w:spacing w:after="0" w:line="240" w:lineRule="auto"/>
        <w:jc w:val="both"/>
        <w:rPr>
          <w:rFonts w:ascii="Arial" w:eastAsia="Arial" w:hAnsi="Arial" w:cs="Arial"/>
          <w:sz w:val="24"/>
          <w:szCs w:val="24"/>
        </w:rPr>
      </w:pPr>
      <w:r>
        <w:rPr>
          <w:rFonts w:ascii="Arial" w:eastAsia="Arial" w:hAnsi="Arial" w:cs="Arial"/>
          <w:sz w:val="24"/>
          <w:szCs w:val="24"/>
        </w:rPr>
        <w:t>The Initial Set-Up Fees are Chargeable only once by the Supplier to any Buyer within any Call-Off Contact peri</w:t>
      </w:r>
      <w:r>
        <w:rPr>
          <w:rFonts w:ascii="Arial" w:eastAsia="Arial" w:hAnsi="Arial" w:cs="Arial"/>
          <w:sz w:val="24"/>
          <w:szCs w:val="24"/>
        </w:rPr>
        <w:t xml:space="preserve">od per Service. </w:t>
      </w:r>
    </w:p>
    <w:p w:rsidR="00FE5F7D" w:rsidRDefault="000A7B70">
      <w:pPr>
        <w:widowControl w:val="0"/>
        <w:spacing w:after="0" w:line="240" w:lineRule="auto"/>
        <w:ind w:left="1440"/>
        <w:jc w:val="both"/>
        <w:rPr>
          <w:rFonts w:ascii="Arial" w:eastAsia="Arial" w:hAnsi="Arial" w:cs="Arial"/>
          <w:sz w:val="24"/>
          <w:szCs w:val="24"/>
        </w:rPr>
      </w:pPr>
      <w:r>
        <w:rPr>
          <w:rFonts w:ascii="Arial" w:eastAsia="Arial" w:hAnsi="Arial" w:cs="Arial"/>
          <w:sz w:val="24"/>
          <w:szCs w:val="24"/>
        </w:rPr>
        <w:t xml:space="preserve"> </w:t>
      </w:r>
    </w:p>
    <w:p w:rsidR="00FE5F7D" w:rsidRDefault="000A7B70">
      <w:pPr>
        <w:widowControl w:val="0"/>
        <w:numPr>
          <w:ilvl w:val="2"/>
          <w:numId w:val="1"/>
        </w:numPr>
        <w:spacing w:after="0" w:line="240" w:lineRule="auto"/>
        <w:jc w:val="both"/>
        <w:rPr>
          <w:rFonts w:ascii="Arial" w:eastAsia="Arial" w:hAnsi="Arial" w:cs="Arial"/>
          <w:sz w:val="24"/>
          <w:szCs w:val="24"/>
        </w:rPr>
      </w:pPr>
      <w:r>
        <w:rPr>
          <w:rFonts w:ascii="Arial" w:eastAsia="Arial" w:hAnsi="Arial" w:cs="Arial"/>
          <w:sz w:val="24"/>
          <w:szCs w:val="24"/>
        </w:rPr>
        <w:t xml:space="preserve">For Alternate Pricing as set out in this Annex 2 Paragraph 2 below, the same process would apply but the calculation would be also based on the method of calculating Alternate Pricing using paragraph 2 and Lot 2 Tables 1 and 2 </w:t>
      </w:r>
    </w:p>
    <w:p w:rsidR="00FE5F7D" w:rsidRDefault="000A7B70">
      <w:pPr>
        <w:widowControl w:val="0"/>
        <w:spacing w:after="0" w:line="240" w:lineRule="auto"/>
        <w:ind w:left="2160"/>
        <w:jc w:val="both"/>
        <w:rPr>
          <w:rFonts w:ascii="Arial" w:eastAsia="Arial" w:hAnsi="Arial" w:cs="Arial"/>
          <w:sz w:val="24"/>
          <w:szCs w:val="24"/>
        </w:rPr>
      </w:pPr>
      <w:r>
        <w:rPr>
          <w:rFonts w:ascii="Arial" w:eastAsia="Arial" w:hAnsi="Arial" w:cs="Arial"/>
          <w:sz w:val="24"/>
          <w:szCs w:val="24"/>
        </w:rPr>
        <w:t xml:space="preserve"> </w:t>
      </w:r>
    </w:p>
    <w:p w:rsidR="00FE5F7D" w:rsidRDefault="000A7B70">
      <w:pPr>
        <w:widowControl w:val="0"/>
        <w:numPr>
          <w:ilvl w:val="2"/>
          <w:numId w:val="1"/>
        </w:numPr>
        <w:spacing w:after="0" w:line="240" w:lineRule="auto"/>
        <w:jc w:val="both"/>
        <w:rPr>
          <w:rFonts w:ascii="Arial" w:eastAsia="Arial" w:hAnsi="Arial" w:cs="Arial"/>
          <w:sz w:val="24"/>
          <w:szCs w:val="24"/>
        </w:rPr>
      </w:pPr>
      <w:r>
        <w:rPr>
          <w:rFonts w:ascii="Arial" w:eastAsia="Arial" w:hAnsi="Arial" w:cs="Arial"/>
          <w:sz w:val="24"/>
          <w:szCs w:val="24"/>
        </w:rPr>
        <w:t>The Buy</w:t>
      </w:r>
      <w:r>
        <w:rPr>
          <w:rFonts w:ascii="Arial" w:eastAsia="Arial" w:hAnsi="Arial" w:cs="Arial"/>
          <w:sz w:val="24"/>
          <w:szCs w:val="24"/>
        </w:rPr>
        <w:t xml:space="preserve">er may agree in writing to allow the Supplier to undertake the calculations within a different time frame. In these circumstances The Supplier shall calculate the difference between what has been Charged and what would have been Charged if the calculation </w:t>
      </w:r>
      <w:r>
        <w:rPr>
          <w:rFonts w:ascii="Arial" w:eastAsia="Arial" w:hAnsi="Arial" w:cs="Arial"/>
          <w:sz w:val="24"/>
          <w:szCs w:val="24"/>
        </w:rPr>
        <w:t xml:space="preserve">had occurred </w:t>
      </w:r>
    </w:p>
    <w:p w:rsidR="00FE5F7D" w:rsidRDefault="00FE5F7D">
      <w:pPr>
        <w:widowControl w:val="0"/>
        <w:spacing w:line="240" w:lineRule="auto"/>
        <w:ind w:left="1440"/>
        <w:jc w:val="both"/>
        <w:rPr>
          <w:rFonts w:ascii="Arial" w:eastAsia="Arial" w:hAnsi="Arial" w:cs="Arial"/>
          <w:b/>
          <w:sz w:val="24"/>
          <w:szCs w:val="24"/>
        </w:rPr>
      </w:pPr>
    </w:p>
    <w:p w:rsidR="00FE5F7D" w:rsidRDefault="000A7B70">
      <w:pPr>
        <w:widowControl w:val="0"/>
        <w:numPr>
          <w:ilvl w:val="0"/>
          <w:numId w:val="1"/>
        </w:numPr>
        <w:spacing w:line="240" w:lineRule="auto"/>
        <w:jc w:val="both"/>
        <w:rPr>
          <w:rFonts w:ascii="Arial" w:eastAsia="Arial" w:hAnsi="Arial" w:cs="Arial"/>
          <w:b/>
          <w:sz w:val="24"/>
          <w:szCs w:val="24"/>
        </w:rPr>
      </w:pPr>
      <w:r>
        <w:rPr>
          <w:rFonts w:ascii="Arial" w:eastAsia="Arial" w:hAnsi="Arial" w:cs="Arial"/>
          <w:b/>
          <w:sz w:val="24"/>
          <w:szCs w:val="24"/>
        </w:rPr>
        <w:t>Lot 2 Alternate Pricing</w:t>
      </w:r>
    </w:p>
    <w:p w:rsidR="00FE5F7D" w:rsidRDefault="000A7B70">
      <w:pPr>
        <w:widowControl w:val="0"/>
        <w:spacing w:line="240" w:lineRule="auto"/>
        <w:ind w:left="720"/>
        <w:jc w:val="both"/>
        <w:rPr>
          <w:rFonts w:ascii="Arial" w:eastAsia="Arial" w:hAnsi="Arial" w:cs="Arial"/>
          <w:sz w:val="24"/>
          <w:szCs w:val="24"/>
        </w:rPr>
      </w:pPr>
      <w:r>
        <w:rPr>
          <w:rFonts w:ascii="Arial" w:eastAsia="Arial" w:hAnsi="Arial" w:cs="Arial"/>
          <w:sz w:val="24"/>
          <w:szCs w:val="24"/>
        </w:rPr>
        <w:t xml:space="preserve"> </w:t>
      </w:r>
    </w:p>
    <w:p w:rsidR="00FE5F7D" w:rsidRDefault="000A7B70">
      <w:pPr>
        <w:widowControl w:val="0"/>
        <w:numPr>
          <w:ilvl w:val="1"/>
          <w:numId w:val="1"/>
        </w:numPr>
        <w:spacing w:after="0" w:line="240" w:lineRule="auto"/>
        <w:jc w:val="both"/>
        <w:rPr>
          <w:rFonts w:ascii="Arial" w:eastAsia="Arial" w:hAnsi="Arial" w:cs="Arial"/>
          <w:sz w:val="24"/>
          <w:szCs w:val="24"/>
        </w:rPr>
      </w:pPr>
      <w:r>
        <w:rPr>
          <w:rFonts w:ascii="Arial" w:eastAsia="Arial" w:hAnsi="Arial" w:cs="Arial"/>
          <w:sz w:val="24"/>
          <w:szCs w:val="24"/>
        </w:rPr>
        <w:t xml:space="preserve">Table 2 below details the components of the Services and the associated prices for each individual component, that are included in the Fixed Fee Per Card Services in Table 1 below. </w:t>
      </w:r>
    </w:p>
    <w:p w:rsidR="00FE5F7D" w:rsidRDefault="000A7B70">
      <w:pPr>
        <w:widowControl w:val="0"/>
        <w:spacing w:after="0" w:line="240" w:lineRule="auto"/>
        <w:ind w:left="1440"/>
        <w:jc w:val="both"/>
        <w:rPr>
          <w:rFonts w:ascii="Arial" w:eastAsia="Arial" w:hAnsi="Arial" w:cs="Arial"/>
          <w:sz w:val="24"/>
          <w:szCs w:val="24"/>
        </w:rPr>
      </w:pPr>
      <w:r>
        <w:rPr>
          <w:rFonts w:ascii="Arial" w:eastAsia="Arial" w:hAnsi="Arial" w:cs="Arial"/>
          <w:sz w:val="24"/>
          <w:szCs w:val="24"/>
        </w:rPr>
        <w:t xml:space="preserve"> </w:t>
      </w:r>
    </w:p>
    <w:p w:rsidR="00FE5F7D" w:rsidRDefault="000A7B70">
      <w:pPr>
        <w:widowControl w:val="0"/>
        <w:numPr>
          <w:ilvl w:val="1"/>
          <w:numId w:val="1"/>
        </w:numPr>
        <w:spacing w:after="0" w:line="240" w:lineRule="auto"/>
        <w:jc w:val="both"/>
        <w:rPr>
          <w:rFonts w:ascii="Arial" w:eastAsia="Arial" w:hAnsi="Arial" w:cs="Arial"/>
          <w:sz w:val="24"/>
          <w:szCs w:val="24"/>
        </w:rPr>
      </w:pPr>
      <w:r>
        <w:rPr>
          <w:rFonts w:ascii="Arial" w:eastAsia="Arial" w:hAnsi="Arial" w:cs="Arial"/>
          <w:sz w:val="24"/>
          <w:szCs w:val="24"/>
        </w:rPr>
        <w:t>The Supplier must ensure that the Sum of all of the Components Prices for the Services set out within Lot 2 Table 2 below, is equal to the equivalent Fixed Price for the same Service as set out within Lot 2 Table 1 below.</w:t>
      </w:r>
    </w:p>
    <w:p w:rsidR="00FE5F7D" w:rsidRDefault="000A7B70">
      <w:pPr>
        <w:widowControl w:val="0"/>
        <w:spacing w:after="0" w:line="240" w:lineRule="auto"/>
        <w:ind w:left="1440"/>
        <w:jc w:val="both"/>
        <w:rPr>
          <w:rFonts w:ascii="Arial" w:eastAsia="Arial" w:hAnsi="Arial" w:cs="Arial"/>
          <w:sz w:val="24"/>
          <w:szCs w:val="24"/>
        </w:rPr>
      </w:pPr>
      <w:r>
        <w:rPr>
          <w:rFonts w:ascii="Arial" w:eastAsia="Arial" w:hAnsi="Arial" w:cs="Arial"/>
          <w:sz w:val="24"/>
          <w:szCs w:val="24"/>
        </w:rPr>
        <w:t xml:space="preserve"> </w:t>
      </w:r>
    </w:p>
    <w:p w:rsidR="00FE5F7D" w:rsidRDefault="000A7B70">
      <w:pPr>
        <w:widowControl w:val="0"/>
        <w:numPr>
          <w:ilvl w:val="1"/>
          <w:numId w:val="1"/>
        </w:numPr>
        <w:spacing w:after="0" w:line="240" w:lineRule="auto"/>
        <w:jc w:val="both"/>
        <w:rPr>
          <w:rFonts w:ascii="Arial" w:eastAsia="Arial" w:hAnsi="Arial" w:cs="Arial"/>
          <w:sz w:val="24"/>
          <w:szCs w:val="24"/>
        </w:rPr>
      </w:pPr>
      <w:r>
        <w:rPr>
          <w:rFonts w:ascii="Arial" w:eastAsia="Arial" w:hAnsi="Arial" w:cs="Arial"/>
          <w:sz w:val="24"/>
          <w:szCs w:val="24"/>
        </w:rPr>
        <w:t>There may be circumstances in wh</w:t>
      </w:r>
      <w:r>
        <w:rPr>
          <w:rFonts w:ascii="Arial" w:eastAsia="Arial" w:hAnsi="Arial" w:cs="Arial"/>
          <w:sz w:val="24"/>
          <w:szCs w:val="24"/>
        </w:rPr>
        <w:t xml:space="preserve">ich one or more of the component </w:t>
      </w:r>
      <w:r>
        <w:rPr>
          <w:rFonts w:ascii="Arial" w:eastAsia="Arial" w:hAnsi="Arial" w:cs="Arial"/>
          <w:sz w:val="24"/>
          <w:szCs w:val="24"/>
        </w:rPr>
        <w:lastRenderedPageBreak/>
        <w:t xml:space="preserve">parts of the Service are not required by a Buyer. </w:t>
      </w:r>
    </w:p>
    <w:p w:rsidR="00FE5F7D" w:rsidRDefault="000A7B70">
      <w:pPr>
        <w:widowControl w:val="0"/>
        <w:spacing w:after="0" w:line="240" w:lineRule="auto"/>
        <w:ind w:left="1440"/>
        <w:jc w:val="both"/>
        <w:rPr>
          <w:rFonts w:ascii="Arial" w:eastAsia="Arial" w:hAnsi="Arial" w:cs="Arial"/>
          <w:sz w:val="24"/>
          <w:szCs w:val="24"/>
        </w:rPr>
      </w:pPr>
      <w:r>
        <w:rPr>
          <w:rFonts w:ascii="Arial" w:eastAsia="Arial" w:hAnsi="Arial" w:cs="Arial"/>
          <w:sz w:val="24"/>
          <w:szCs w:val="24"/>
        </w:rPr>
        <w:t xml:space="preserve"> </w:t>
      </w:r>
    </w:p>
    <w:p w:rsidR="00FE5F7D" w:rsidRDefault="000A7B70">
      <w:pPr>
        <w:widowControl w:val="0"/>
        <w:numPr>
          <w:ilvl w:val="1"/>
          <w:numId w:val="1"/>
        </w:numPr>
        <w:spacing w:line="240" w:lineRule="auto"/>
        <w:jc w:val="both"/>
        <w:rPr>
          <w:rFonts w:ascii="Arial" w:eastAsia="Arial" w:hAnsi="Arial" w:cs="Arial"/>
          <w:sz w:val="24"/>
          <w:szCs w:val="24"/>
        </w:rPr>
      </w:pPr>
      <w:r>
        <w:rPr>
          <w:rFonts w:ascii="Arial" w:eastAsia="Arial" w:hAnsi="Arial" w:cs="Arial"/>
          <w:sz w:val="24"/>
          <w:szCs w:val="24"/>
        </w:rPr>
        <w:t>Where the Buyer and Supplier agree in writing that any component part of the Service is not required, The Supplier shall calculate the prices for</w:t>
      </w:r>
    </w:p>
    <w:p w:rsidR="00FE5F7D" w:rsidRDefault="000A7B70">
      <w:pPr>
        <w:widowControl w:val="0"/>
        <w:numPr>
          <w:ilvl w:val="0"/>
          <w:numId w:val="4"/>
        </w:numPr>
        <w:spacing w:after="0" w:line="240" w:lineRule="auto"/>
        <w:jc w:val="both"/>
        <w:rPr>
          <w:rFonts w:ascii="Arial" w:eastAsia="Arial" w:hAnsi="Arial" w:cs="Arial"/>
          <w:sz w:val="24"/>
          <w:szCs w:val="24"/>
        </w:rPr>
      </w:pPr>
      <w:r>
        <w:rPr>
          <w:rFonts w:ascii="Arial" w:eastAsia="Arial" w:hAnsi="Arial" w:cs="Arial"/>
          <w:sz w:val="24"/>
          <w:szCs w:val="24"/>
        </w:rPr>
        <w:t>the Fixed Fee Per Card S</w:t>
      </w:r>
      <w:r>
        <w:rPr>
          <w:rFonts w:ascii="Arial" w:eastAsia="Arial" w:hAnsi="Arial" w:cs="Arial"/>
          <w:sz w:val="24"/>
          <w:szCs w:val="24"/>
        </w:rPr>
        <w:t>ervices as per Table 1 below and</w:t>
      </w:r>
    </w:p>
    <w:p w:rsidR="00FE5F7D" w:rsidRDefault="000A7B70">
      <w:pPr>
        <w:widowControl w:val="0"/>
        <w:numPr>
          <w:ilvl w:val="0"/>
          <w:numId w:val="4"/>
        </w:numPr>
        <w:spacing w:after="0" w:line="240" w:lineRule="auto"/>
        <w:jc w:val="both"/>
        <w:rPr>
          <w:rFonts w:ascii="Arial" w:eastAsia="Arial" w:hAnsi="Arial" w:cs="Arial"/>
          <w:sz w:val="24"/>
          <w:szCs w:val="24"/>
        </w:rPr>
      </w:pPr>
      <w:r>
        <w:rPr>
          <w:rFonts w:ascii="Arial" w:eastAsia="Arial" w:hAnsi="Arial" w:cs="Arial"/>
          <w:sz w:val="24"/>
          <w:szCs w:val="24"/>
        </w:rPr>
        <w:t xml:space="preserve"> the Components of the Service that the Buyer does not require using Table 2 below. These shall be the “Unrequired Service Components” </w:t>
      </w:r>
    </w:p>
    <w:p w:rsidR="00FE5F7D" w:rsidRDefault="00FE5F7D">
      <w:pPr>
        <w:widowControl w:val="0"/>
        <w:spacing w:after="0" w:line="240" w:lineRule="auto"/>
        <w:ind w:left="2880"/>
        <w:jc w:val="both"/>
        <w:rPr>
          <w:rFonts w:ascii="Arial" w:eastAsia="Arial" w:hAnsi="Arial" w:cs="Arial"/>
          <w:sz w:val="24"/>
          <w:szCs w:val="24"/>
        </w:rPr>
      </w:pPr>
    </w:p>
    <w:p w:rsidR="00FE5F7D" w:rsidRDefault="000A7B70">
      <w:pPr>
        <w:widowControl w:val="0"/>
        <w:numPr>
          <w:ilvl w:val="1"/>
          <w:numId w:val="1"/>
        </w:numPr>
        <w:spacing w:after="0" w:line="240" w:lineRule="auto"/>
        <w:jc w:val="both"/>
        <w:rPr>
          <w:rFonts w:ascii="Arial" w:eastAsia="Arial" w:hAnsi="Arial" w:cs="Arial"/>
          <w:sz w:val="24"/>
          <w:szCs w:val="24"/>
        </w:rPr>
      </w:pPr>
      <w:r>
        <w:rPr>
          <w:rFonts w:ascii="Arial" w:eastAsia="Arial" w:hAnsi="Arial" w:cs="Arial"/>
          <w:sz w:val="24"/>
          <w:szCs w:val="24"/>
        </w:rPr>
        <w:t xml:space="preserve">The Supplier shall calculate the Charges by deducting b) from a) above, this shall be </w:t>
      </w:r>
      <w:r>
        <w:rPr>
          <w:rFonts w:ascii="Arial" w:eastAsia="Arial" w:hAnsi="Arial" w:cs="Arial"/>
          <w:sz w:val="24"/>
          <w:szCs w:val="24"/>
        </w:rPr>
        <w:t>the “Alternative Pricing”</w:t>
      </w:r>
    </w:p>
    <w:p w:rsidR="00FE5F7D" w:rsidRDefault="000A7B70">
      <w:pPr>
        <w:widowControl w:val="0"/>
        <w:spacing w:after="0" w:line="240" w:lineRule="auto"/>
        <w:ind w:left="1440"/>
        <w:jc w:val="both"/>
        <w:rPr>
          <w:rFonts w:ascii="Arial" w:eastAsia="Arial" w:hAnsi="Arial" w:cs="Arial"/>
          <w:sz w:val="24"/>
          <w:szCs w:val="24"/>
        </w:rPr>
      </w:pPr>
      <w:r>
        <w:rPr>
          <w:rFonts w:ascii="Arial" w:eastAsia="Arial" w:hAnsi="Arial" w:cs="Arial"/>
          <w:sz w:val="24"/>
          <w:szCs w:val="24"/>
        </w:rPr>
        <w:t xml:space="preserve"> </w:t>
      </w:r>
    </w:p>
    <w:p w:rsidR="00FE5F7D" w:rsidRDefault="000A7B70">
      <w:pPr>
        <w:widowControl w:val="0"/>
        <w:numPr>
          <w:ilvl w:val="1"/>
          <w:numId w:val="1"/>
        </w:numPr>
        <w:spacing w:line="240" w:lineRule="auto"/>
        <w:jc w:val="both"/>
        <w:rPr>
          <w:rFonts w:ascii="Arial" w:eastAsia="Arial" w:hAnsi="Arial" w:cs="Arial"/>
          <w:sz w:val="24"/>
          <w:szCs w:val="24"/>
        </w:rPr>
      </w:pPr>
      <w:r>
        <w:rPr>
          <w:rFonts w:ascii="Arial" w:eastAsia="Arial" w:hAnsi="Arial" w:cs="Arial"/>
          <w:sz w:val="24"/>
          <w:szCs w:val="24"/>
        </w:rPr>
        <w:t>The Supplier may also still Charge the One-Off Initial Set-Up Cost as set out with Lot 2 Table 2 below. This shall be Charged following the Buyer’s confirmation in writing that Set-up has been completed.</w:t>
      </w:r>
    </w:p>
    <w:p w:rsidR="00FE5F7D" w:rsidRDefault="00FE5F7D">
      <w:pPr>
        <w:jc w:val="both"/>
        <w:rPr>
          <w:rFonts w:ascii="Arial" w:eastAsia="Arial" w:hAnsi="Arial" w:cs="Arial"/>
          <w:b/>
          <w:sz w:val="24"/>
          <w:szCs w:val="24"/>
        </w:rPr>
      </w:pPr>
    </w:p>
    <w:p w:rsidR="00FE5F7D" w:rsidRDefault="00FE5F7D">
      <w:pPr>
        <w:jc w:val="both"/>
        <w:rPr>
          <w:rFonts w:ascii="Arial" w:eastAsia="Arial" w:hAnsi="Arial" w:cs="Arial"/>
          <w:b/>
          <w:sz w:val="24"/>
          <w:szCs w:val="24"/>
        </w:rPr>
      </w:pPr>
    </w:p>
    <w:p w:rsidR="00FE5F7D" w:rsidRDefault="00FE5F7D">
      <w:pPr>
        <w:jc w:val="both"/>
        <w:rPr>
          <w:rFonts w:ascii="Arial" w:eastAsia="Arial" w:hAnsi="Arial" w:cs="Arial"/>
          <w:b/>
          <w:sz w:val="24"/>
          <w:szCs w:val="24"/>
        </w:rPr>
      </w:pPr>
    </w:p>
    <w:p w:rsidR="00FE5F7D" w:rsidRDefault="00FE5F7D">
      <w:pPr>
        <w:jc w:val="both"/>
        <w:rPr>
          <w:rFonts w:ascii="Arial" w:eastAsia="Arial" w:hAnsi="Arial" w:cs="Arial"/>
          <w:b/>
          <w:sz w:val="24"/>
          <w:szCs w:val="24"/>
        </w:rPr>
      </w:pPr>
    </w:p>
    <w:p w:rsidR="00FE5F7D" w:rsidRDefault="00FE5F7D">
      <w:pPr>
        <w:jc w:val="both"/>
        <w:rPr>
          <w:rFonts w:ascii="Arial" w:eastAsia="Arial" w:hAnsi="Arial" w:cs="Arial"/>
          <w:b/>
          <w:sz w:val="24"/>
          <w:szCs w:val="24"/>
        </w:rPr>
      </w:pPr>
    </w:p>
    <w:p w:rsidR="00FE5F7D" w:rsidRDefault="00FE5F7D">
      <w:pPr>
        <w:jc w:val="both"/>
        <w:rPr>
          <w:rFonts w:ascii="Arial" w:eastAsia="Arial" w:hAnsi="Arial" w:cs="Arial"/>
          <w:b/>
          <w:sz w:val="24"/>
          <w:szCs w:val="24"/>
        </w:rPr>
      </w:pPr>
    </w:p>
    <w:p w:rsidR="00FE5F7D" w:rsidRDefault="000A7B70">
      <w:pPr>
        <w:jc w:val="both"/>
        <w:rPr>
          <w:rFonts w:ascii="Arial" w:eastAsia="Arial" w:hAnsi="Arial" w:cs="Arial"/>
          <w:b/>
          <w:sz w:val="24"/>
          <w:szCs w:val="24"/>
        </w:rPr>
      </w:pPr>
      <w:r>
        <w:rPr>
          <w:rFonts w:ascii="Arial" w:eastAsia="Arial" w:hAnsi="Arial" w:cs="Arial"/>
          <w:b/>
          <w:sz w:val="24"/>
          <w:szCs w:val="24"/>
        </w:rPr>
        <w:t>Lot 2 Table 1</w:t>
      </w:r>
    </w:p>
    <w:tbl>
      <w:tblPr>
        <w:tblStyle w:val="a0"/>
        <w:tblW w:w="9025" w:type="dxa"/>
        <w:tblBorders>
          <w:top w:val="nil"/>
          <w:left w:val="nil"/>
          <w:bottom w:val="nil"/>
          <w:right w:val="nil"/>
          <w:insideH w:val="nil"/>
          <w:insideV w:val="nil"/>
        </w:tblBorders>
        <w:tblLayout w:type="fixed"/>
        <w:tblLook w:val="0600" w:firstRow="0" w:lastRow="0" w:firstColumn="0" w:lastColumn="0" w:noHBand="1" w:noVBand="1"/>
      </w:tblPr>
      <w:tblGrid>
        <w:gridCol w:w="2753"/>
        <w:gridCol w:w="784"/>
        <w:gridCol w:w="784"/>
        <w:gridCol w:w="784"/>
        <w:gridCol w:w="784"/>
        <w:gridCol w:w="784"/>
        <w:gridCol w:w="784"/>
        <w:gridCol w:w="784"/>
        <w:gridCol w:w="784"/>
      </w:tblGrid>
      <w:tr w:rsidR="00FE5F7D">
        <w:trPr>
          <w:trHeight w:val="315"/>
        </w:trPr>
        <w:tc>
          <w:tcPr>
            <w:tcW w:w="2752" w:type="dxa"/>
            <w:tcBorders>
              <w:top w:val="single" w:sz="6" w:space="0" w:color="000000"/>
              <w:left w:val="single" w:sz="6" w:space="0" w:color="000000"/>
              <w:bottom w:val="single" w:sz="6" w:space="0" w:color="000000"/>
              <w:right w:val="single" w:sz="6" w:space="0" w:color="000000"/>
            </w:tcBorders>
            <w:shd w:val="clear" w:color="auto" w:fill="9BC2E6"/>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b/>
                <w:sz w:val="24"/>
                <w:szCs w:val="24"/>
              </w:rPr>
              <w:t>Service Description</w:t>
            </w:r>
          </w:p>
        </w:tc>
        <w:tc>
          <w:tcPr>
            <w:tcW w:w="6272" w:type="dxa"/>
            <w:gridSpan w:val="8"/>
            <w:tcBorders>
              <w:top w:val="single" w:sz="6" w:space="0" w:color="000000"/>
              <w:left w:val="nil"/>
              <w:bottom w:val="single" w:sz="6" w:space="0" w:color="000000"/>
              <w:right w:val="single" w:sz="6" w:space="0" w:color="000000"/>
            </w:tcBorders>
            <w:shd w:val="clear" w:color="auto" w:fill="9FC5E8"/>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b/>
                <w:sz w:val="24"/>
                <w:szCs w:val="24"/>
              </w:rPr>
              <w:t>Volume of Cards</w:t>
            </w:r>
          </w:p>
        </w:tc>
      </w:tr>
      <w:tr w:rsidR="00FE5F7D">
        <w:trPr>
          <w:trHeight w:val="300"/>
        </w:trPr>
        <w:tc>
          <w:tcPr>
            <w:tcW w:w="2752" w:type="dxa"/>
            <w:tcBorders>
              <w:top w:val="nil"/>
              <w:left w:val="single" w:sz="6" w:space="0" w:color="000000"/>
              <w:bottom w:val="single" w:sz="6" w:space="0" w:color="000000"/>
              <w:right w:val="single" w:sz="6" w:space="0" w:color="000000"/>
            </w:tcBorders>
            <w:shd w:val="clear" w:color="auto" w:fill="9FC5E8"/>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b/>
                <w:sz w:val="24"/>
                <w:szCs w:val="24"/>
              </w:rPr>
              <w:t>ACCOUNT COSTS</w:t>
            </w:r>
          </w:p>
        </w:tc>
        <w:tc>
          <w:tcPr>
            <w:tcW w:w="784" w:type="dxa"/>
            <w:tcBorders>
              <w:top w:val="nil"/>
              <w:left w:val="nil"/>
              <w:bottom w:val="single" w:sz="6" w:space="0" w:color="000000"/>
              <w:right w:val="single" w:sz="6" w:space="0" w:color="000000"/>
            </w:tcBorders>
            <w:shd w:val="clear" w:color="auto" w:fill="9FC5E8"/>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b/>
                <w:sz w:val="24"/>
                <w:szCs w:val="24"/>
              </w:rPr>
              <w:t>0-250 cards</w:t>
            </w:r>
          </w:p>
        </w:tc>
        <w:tc>
          <w:tcPr>
            <w:tcW w:w="784" w:type="dxa"/>
            <w:tcBorders>
              <w:top w:val="nil"/>
              <w:left w:val="nil"/>
              <w:bottom w:val="single" w:sz="6" w:space="0" w:color="000000"/>
              <w:right w:val="single" w:sz="6" w:space="0" w:color="000000"/>
            </w:tcBorders>
            <w:shd w:val="clear" w:color="auto" w:fill="9FC5E8"/>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b/>
                <w:sz w:val="24"/>
                <w:szCs w:val="24"/>
              </w:rPr>
              <w:t>251-500</w:t>
            </w:r>
          </w:p>
        </w:tc>
        <w:tc>
          <w:tcPr>
            <w:tcW w:w="784" w:type="dxa"/>
            <w:tcBorders>
              <w:top w:val="nil"/>
              <w:left w:val="nil"/>
              <w:bottom w:val="single" w:sz="6" w:space="0" w:color="000000"/>
              <w:right w:val="single" w:sz="6" w:space="0" w:color="000000"/>
            </w:tcBorders>
            <w:shd w:val="clear" w:color="auto" w:fill="9FC5E8"/>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b/>
                <w:sz w:val="24"/>
                <w:szCs w:val="24"/>
              </w:rPr>
              <w:t>501-1000</w:t>
            </w:r>
          </w:p>
        </w:tc>
        <w:tc>
          <w:tcPr>
            <w:tcW w:w="784" w:type="dxa"/>
            <w:tcBorders>
              <w:top w:val="nil"/>
              <w:left w:val="nil"/>
              <w:bottom w:val="single" w:sz="6" w:space="0" w:color="000000"/>
              <w:right w:val="single" w:sz="6" w:space="0" w:color="000000"/>
            </w:tcBorders>
            <w:shd w:val="clear" w:color="auto" w:fill="9FC5E8"/>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b/>
                <w:sz w:val="24"/>
                <w:szCs w:val="24"/>
              </w:rPr>
              <w:t>1001-3000</w:t>
            </w:r>
          </w:p>
        </w:tc>
        <w:tc>
          <w:tcPr>
            <w:tcW w:w="784" w:type="dxa"/>
            <w:tcBorders>
              <w:top w:val="nil"/>
              <w:left w:val="nil"/>
              <w:bottom w:val="single" w:sz="6" w:space="0" w:color="000000"/>
              <w:right w:val="single" w:sz="6" w:space="0" w:color="000000"/>
            </w:tcBorders>
            <w:shd w:val="clear" w:color="auto" w:fill="9FC5E8"/>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b/>
                <w:sz w:val="24"/>
                <w:szCs w:val="24"/>
              </w:rPr>
              <w:t>3001-5000</w:t>
            </w:r>
          </w:p>
        </w:tc>
        <w:tc>
          <w:tcPr>
            <w:tcW w:w="784" w:type="dxa"/>
            <w:tcBorders>
              <w:top w:val="nil"/>
              <w:left w:val="nil"/>
              <w:bottom w:val="single" w:sz="6" w:space="0" w:color="000000"/>
              <w:right w:val="single" w:sz="6" w:space="0" w:color="000000"/>
            </w:tcBorders>
            <w:shd w:val="clear" w:color="auto" w:fill="9FC5E8"/>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b/>
                <w:sz w:val="24"/>
                <w:szCs w:val="24"/>
              </w:rPr>
              <w:t>5001-10000</w:t>
            </w:r>
          </w:p>
        </w:tc>
        <w:tc>
          <w:tcPr>
            <w:tcW w:w="784" w:type="dxa"/>
            <w:tcBorders>
              <w:top w:val="nil"/>
              <w:left w:val="nil"/>
              <w:bottom w:val="single" w:sz="6" w:space="0" w:color="000000"/>
              <w:right w:val="single" w:sz="6" w:space="0" w:color="000000"/>
            </w:tcBorders>
            <w:shd w:val="clear" w:color="auto" w:fill="9FC5E8"/>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b/>
                <w:sz w:val="24"/>
                <w:szCs w:val="24"/>
              </w:rPr>
              <w:t>10001-20000</w:t>
            </w:r>
          </w:p>
        </w:tc>
        <w:tc>
          <w:tcPr>
            <w:tcW w:w="784" w:type="dxa"/>
            <w:tcBorders>
              <w:top w:val="nil"/>
              <w:left w:val="nil"/>
              <w:bottom w:val="single" w:sz="6" w:space="0" w:color="000000"/>
              <w:right w:val="single" w:sz="6" w:space="0" w:color="000000"/>
            </w:tcBorders>
            <w:shd w:val="clear" w:color="auto" w:fill="9FC5E8"/>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b/>
                <w:sz w:val="24"/>
                <w:szCs w:val="24"/>
              </w:rPr>
              <w:t>20001+</w:t>
            </w:r>
          </w:p>
        </w:tc>
      </w:tr>
      <w:tr w:rsidR="00FE5F7D">
        <w:trPr>
          <w:trHeight w:val="300"/>
        </w:trPr>
        <w:tc>
          <w:tcPr>
            <w:tcW w:w="2752"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b/>
                <w:sz w:val="24"/>
                <w:szCs w:val="24"/>
              </w:rPr>
              <w:t>Reloadable Plastic Cards :</w:t>
            </w: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r>
      <w:tr w:rsidR="00FE5F7D">
        <w:trPr>
          <w:trHeight w:val="300"/>
        </w:trPr>
        <w:tc>
          <w:tcPr>
            <w:tcW w:w="2752"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Monthly Fixed Fee* per card</w:t>
            </w: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r>
      <w:tr w:rsidR="00FE5F7D">
        <w:trPr>
          <w:trHeight w:val="300"/>
        </w:trPr>
        <w:tc>
          <w:tcPr>
            <w:tcW w:w="2752"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Initial Set up Cost (One Off Cost)</w:t>
            </w: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r>
      <w:tr w:rsidR="00FE5F7D">
        <w:trPr>
          <w:trHeight w:val="300"/>
        </w:trPr>
        <w:tc>
          <w:tcPr>
            <w:tcW w:w="2752"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r>
      <w:tr w:rsidR="00FE5F7D">
        <w:trPr>
          <w:trHeight w:val="300"/>
        </w:trPr>
        <w:tc>
          <w:tcPr>
            <w:tcW w:w="2752"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b/>
                <w:sz w:val="24"/>
                <w:szCs w:val="24"/>
              </w:rPr>
              <w:t>Limited Load Plastic Cards</w:t>
            </w: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r>
      <w:tr w:rsidR="00FE5F7D">
        <w:trPr>
          <w:trHeight w:val="300"/>
        </w:trPr>
        <w:tc>
          <w:tcPr>
            <w:tcW w:w="2752"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One Off Fixed Fee* Per Card</w:t>
            </w: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r>
      <w:tr w:rsidR="00FE5F7D">
        <w:trPr>
          <w:trHeight w:val="300"/>
        </w:trPr>
        <w:tc>
          <w:tcPr>
            <w:tcW w:w="2752"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 xml:space="preserve">Initial Set up Cost (One </w:t>
            </w:r>
            <w:r>
              <w:rPr>
                <w:rFonts w:ascii="Arial" w:eastAsia="Arial" w:hAnsi="Arial" w:cs="Arial"/>
                <w:sz w:val="24"/>
                <w:szCs w:val="24"/>
              </w:rPr>
              <w:lastRenderedPageBreak/>
              <w:t>Off Cost)</w:t>
            </w: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r>
      <w:tr w:rsidR="00FE5F7D">
        <w:trPr>
          <w:trHeight w:val="300"/>
        </w:trPr>
        <w:tc>
          <w:tcPr>
            <w:tcW w:w="2752"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r>
      <w:tr w:rsidR="00FE5F7D">
        <w:trPr>
          <w:trHeight w:val="300"/>
        </w:trPr>
        <w:tc>
          <w:tcPr>
            <w:tcW w:w="2752"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b/>
                <w:sz w:val="24"/>
                <w:szCs w:val="24"/>
              </w:rPr>
              <w:t>Instant Use Use Plastic Cards</w:t>
            </w: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r>
      <w:tr w:rsidR="00FE5F7D">
        <w:trPr>
          <w:trHeight w:val="300"/>
        </w:trPr>
        <w:tc>
          <w:tcPr>
            <w:tcW w:w="2752"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One Off Fixed Fee* Per Card</w:t>
            </w: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r>
      <w:tr w:rsidR="00FE5F7D">
        <w:trPr>
          <w:trHeight w:val="300"/>
        </w:trPr>
        <w:tc>
          <w:tcPr>
            <w:tcW w:w="2752"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Initial Set up Cost (One Off Cost)</w:t>
            </w: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c>
          <w:tcPr>
            <w:tcW w:w="784"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r>
    </w:tbl>
    <w:p w:rsidR="00FE5F7D" w:rsidRDefault="00FE5F7D">
      <w:pPr>
        <w:ind w:left="720"/>
        <w:jc w:val="both"/>
        <w:rPr>
          <w:rFonts w:ascii="Arial" w:eastAsia="Arial" w:hAnsi="Arial" w:cs="Arial"/>
          <w:b/>
          <w:sz w:val="24"/>
          <w:szCs w:val="24"/>
        </w:rPr>
        <w:sectPr w:rsidR="00FE5F7D">
          <w:headerReference w:type="default" r:id="rId7"/>
          <w:footerReference w:type="default" r:id="rId8"/>
          <w:headerReference w:type="first" r:id="rId9"/>
          <w:footerReference w:type="first" r:id="rId10"/>
          <w:pgSz w:w="11906" w:h="16838"/>
          <w:pgMar w:top="1888" w:right="1440" w:bottom="1440" w:left="1440" w:header="709" w:footer="709" w:gutter="0"/>
          <w:pgNumType w:start="1"/>
          <w:cols w:space="720"/>
        </w:sectPr>
      </w:pPr>
    </w:p>
    <w:p w:rsidR="00FE5F7D" w:rsidRDefault="000A7B70">
      <w:pPr>
        <w:ind w:left="720"/>
        <w:jc w:val="both"/>
        <w:rPr>
          <w:rFonts w:ascii="Arial" w:eastAsia="Arial" w:hAnsi="Arial" w:cs="Arial"/>
          <w:b/>
          <w:sz w:val="24"/>
          <w:szCs w:val="24"/>
        </w:rPr>
      </w:pPr>
      <w:r>
        <w:rPr>
          <w:rFonts w:ascii="Arial" w:eastAsia="Arial" w:hAnsi="Arial" w:cs="Arial"/>
          <w:b/>
          <w:sz w:val="24"/>
          <w:szCs w:val="24"/>
        </w:rPr>
        <w:lastRenderedPageBreak/>
        <w:t xml:space="preserve">Lot 2 Table 2 </w:t>
      </w:r>
    </w:p>
    <w:tbl>
      <w:tblPr>
        <w:tblStyle w:val="a1"/>
        <w:tblW w:w="13470" w:type="dxa"/>
        <w:tblBorders>
          <w:top w:val="nil"/>
          <w:left w:val="nil"/>
          <w:bottom w:val="nil"/>
          <w:right w:val="nil"/>
          <w:insideH w:val="nil"/>
          <w:insideV w:val="nil"/>
        </w:tblBorders>
        <w:tblLayout w:type="fixed"/>
        <w:tblLook w:val="0600" w:firstRow="0" w:lastRow="0" w:firstColumn="0" w:lastColumn="0" w:noHBand="1" w:noVBand="1"/>
      </w:tblPr>
      <w:tblGrid>
        <w:gridCol w:w="1950"/>
        <w:gridCol w:w="3735"/>
        <w:gridCol w:w="1080"/>
        <w:gridCol w:w="1035"/>
        <w:gridCol w:w="855"/>
        <w:gridCol w:w="750"/>
        <w:gridCol w:w="1110"/>
        <w:gridCol w:w="1080"/>
        <w:gridCol w:w="945"/>
        <w:gridCol w:w="930"/>
      </w:tblGrid>
      <w:tr w:rsidR="00FE5F7D">
        <w:trPr>
          <w:trHeight w:val="315"/>
        </w:trPr>
        <w:tc>
          <w:tcPr>
            <w:tcW w:w="1950" w:type="dxa"/>
            <w:tcBorders>
              <w:top w:val="single" w:sz="6" w:space="0" w:color="000000"/>
              <w:left w:val="single" w:sz="6" w:space="0" w:color="000000"/>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FE5F7D">
            <w:pPr>
              <w:ind w:left="720"/>
              <w:jc w:val="both"/>
              <w:rPr>
                <w:rFonts w:ascii="Arial" w:eastAsia="Arial" w:hAnsi="Arial" w:cs="Arial"/>
                <w:sz w:val="24"/>
                <w:szCs w:val="24"/>
              </w:rPr>
            </w:pPr>
          </w:p>
        </w:tc>
        <w:tc>
          <w:tcPr>
            <w:tcW w:w="3735" w:type="dxa"/>
            <w:tcBorders>
              <w:top w:val="single" w:sz="6" w:space="0" w:color="000000"/>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FE5F7D">
            <w:pPr>
              <w:ind w:left="720"/>
              <w:jc w:val="both"/>
              <w:rPr>
                <w:rFonts w:ascii="Arial" w:eastAsia="Arial" w:hAnsi="Arial" w:cs="Arial"/>
                <w:sz w:val="24"/>
                <w:szCs w:val="24"/>
              </w:rPr>
            </w:pPr>
          </w:p>
        </w:tc>
        <w:tc>
          <w:tcPr>
            <w:tcW w:w="1080" w:type="dxa"/>
            <w:tcBorders>
              <w:top w:val="single" w:sz="6" w:space="0" w:color="000000"/>
              <w:left w:val="single" w:sz="6" w:space="0" w:color="CCCCCC"/>
              <w:bottom w:val="single" w:sz="6" w:space="0" w:color="000000"/>
              <w:right w:val="single" w:sz="6" w:space="0" w:color="000000"/>
            </w:tcBorders>
            <w:shd w:val="clear" w:color="auto" w:fill="999999"/>
            <w:tcMar>
              <w:top w:w="40" w:type="dxa"/>
              <w:left w:w="0" w:type="dxa"/>
              <w:bottom w:w="40" w:type="dxa"/>
              <w:right w:w="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Price per Card based on Volume of Cards</w:t>
            </w:r>
          </w:p>
        </w:tc>
        <w:tc>
          <w:tcPr>
            <w:tcW w:w="1035" w:type="dxa"/>
            <w:tcBorders>
              <w:top w:val="single" w:sz="6" w:space="0" w:color="000000"/>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855" w:type="dxa"/>
            <w:tcBorders>
              <w:top w:val="single" w:sz="6" w:space="0" w:color="000000"/>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750" w:type="dxa"/>
            <w:tcBorders>
              <w:top w:val="single" w:sz="6" w:space="0" w:color="000000"/>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110" w:type="dxa"/>
            <w:tcBorders>
              <w:top w:val="single" w:sz="6" w:space="0" w:color="000000"/>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80" w:type="dxa"/>
            <w:tcBorders>
              <w:top w:val="single" w:sz="6" w:space="0" w:color="000000"/>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45" w:type="dxa"/>
            <w:tcBorders>
              <w:top w:val="single" w:sz="6" w:space="0" w:color="000000"/>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30" w:type="dxa"/>
            <w:tcBorders>
              <w:top w:val="single" w:sz="6" w:space="0" w:color="000000"/>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r>
      <w:tr w:rsidR="00FE5F7D">
        <w:trPr>
          <w:trHeight w:val="930"/>
        </w:trPr>
        <w:tc>
          <w:tcPr>
            <w:tcW w:w="1950" w:type="dxa"/>
            <w:tcBorders>
              <w:top w:val="single" w:sz="6" w:space="0" w:color="CCCCCC"/>
              <w:left w:val="single" w:sz="6" w:space="0" w:color="000000"/>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Component</w:t>
            </w:r>
          </w:p>
        </w:tc>
        <w:tc>
          <w:tcPr>
            <w:tcW w:w="3735" w:type="dxa"/>
            <w:tcBorders>
              <w:top w:val="single" w:sz="6" w:space="0" w:color="CCCCCC"/>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Volume of Cards</w:t>
            </w:r>
          </w:p>
        </w:tc>
        <w:tc>
          <w:tcPr>
            <w:tcW w:w="1080" w:type="dxa"/>
            <w:tcBorders>
              <w:top w:val="single" w:sz="6" w:space="0" w:color="CCCCCC"/>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0-250 cards</w:t>
            </w:r>
          </w:p>
        </w:tc>
        <w:tc>
          <w:tcPr>
            <w:tcW w:w="1035" w:type="dxa"/>
            <w:tcBorders>
              <w:top w:val="single" w:sz="6" w:space="0" w:color="CCCCCC"/>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251-500</w:t>
            </w:r>
          </w:p>
        </w:tc>
        <w:tc>
          <w:tcPr>
            <w:tcW w:w="855" w:type="dxa"/>
            <w:tcBorders>
              <w:top w:val="single" w:sz="6" w:space="0" w:color="CCCCCC"/>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501- 1000</w:t>
            </w:r>
          </w:p>
        </w:tc>
        <w:tc>
          <w:tcPr>
            <w:tcW w:w="750" w:type="dxa"/>
            <w:tcBorders>
              <w:top w:val="single" w:sz="6" w:space="0" w:color="CCCCCC"/>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1001- 3000</w:t>
            </w:r>
          </w:p>
        </w:tc>
        <w:tc>
          <w:tcPr>
            <w:tcW w:w="1110" w:type="dxa"/>
            <w:tcBorders>
              <w:top w:val="single" w:sz="6" w:space="0" w:color="CCCCCC"/>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3001-5000</w:t>
            </w:r>
          </w:p>
        </w:tc>
        <w:tc>
          <w:tcPr>
            <w:tcW w:w="1080" w:type="dxa"/>
            <w:tcBorders>
              <w:top w:val="single" w:sz="6" w:space="0" w:color="CCCCCC"/>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5001- 10000</w:t>
            </w:r>
          </w:p>
        </w:tc>
        <w:tc>
          <w:tcPr>
            <w:tcW w:w="945" w:type="dxa"/>
            <w:tcBorders>
              <w:top w:val="single" w:sz="6" w:space="0" w:color="CCCCCC"/>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10001- 20000</w:t>
            </w:r>
          </w:p>
        </w:tc>
        <w:tc>
          <w:tcPr>
            <w:tcW w:w="930" w:type="dxa"/>
            <w:tcBorders>
              <w:top w:val="single" w:sz="6" w:space="0" w:color="CCCCCC"/>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20001+</w:t>
            </w:r>
          </w:p>
        </w:tc>
      </w:tr>
      <w:tr w:rsidR="00FE5F7D">
        <w:trPr>
          <w:trHeight w:val="885"/>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Reloadable Plastic Cards : per card</w:t>
            </w:r>
          </w:p>
        </w:tc>
        <w:tc>
          <w:tcPr>
            <w:tcW w:w="3735" w:type="dxa"/>
            <w:tcBorders>
              <w:top w:val="single" w:sz="6" w:space="0" w:color="CCCCCC"/>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Description</w:t>
            </w:r>
          </w:p>
        </w:tc>
        <w:tc>
          <w:tcPr>
            <w:tcW w:w="7785" w:type="dxa"/>
            <w:gridSpan w:val="8"/>
            <w:tcBorders>
              <w:top w:val="single" w:sz="6" w:space="0" w:color="CCCCCC"/>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ind w:left="720"/>
              <w:jc w:val="both"/>
              <w:rPr>
                <w:rFonts w:ascii="Arial" w:eastAsia="Arial" w:hAnsi="Arial" w:cs="Arial"/>
                <w:b/>
                <w:sz w:val="24"/>
                <w:szCs w:val="24"/>
              </w:rPr>
            </w:pPr>
            <w:r>
              <w:rPr>
                <w:rFonts w:ascii="Arial" w:eastAsia="Arial" w:hAnsi="Arial" w:cs="Arial"/>
                <w:b/>
                <w:sz w:val="24"/>
                <w:szCs w:val="24"/>
              </w:rPr>
              <w:t>Monthly Price</w:t>
            </w:r>
          </w:p>
        </w:tc>
      </w:tr>
      <w:tr w:rsidR="00FE5F7D">
        <w:trPr>
          <w:trHeight w:val="975"/>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Merchant Category Selection</w:t>
            </w:r>
          </w:p>
        </w:tc>
        <w:tc>
          <w:tcPr>
            <w:tcW w:w="37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Buyer requires Supplier to block or unblock a merchant category specified by the Buyer</w:t>
            </w: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85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7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11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3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r>
      <w:tr w:rsidR="00FE5F7D">
        <w:trPr>
          <w:trHeight w:val="750"/>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Generic Card Design</w:t>
            </w:r>
          </w:p>
        </w:tc>
        <w:tc>
          <w:tcPr>
            <w:tcW w:w="37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Buyer requires the Supplier's generic card design as part of the Service</w:t>
            </w: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85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7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11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3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r>
      <w:tr w:rsidR="00FE5F7D">
        <w:trPr>
          <w:trHeight w:val="975"/>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Card Activation</w:t>
            </w:r>
          </w:p>
        </w:tc>
        <w:tc>
          <w:tcPr>
            <w:tcW w:w="37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 xml:space="preserve">Buyer requires Supplier to activate new and replacement cards and </w:t>
            </w:r>
            <w:r>
              <w:rPr>
                <w:rFonts w:ascii="Arial" w:eastAsia="Arial" w:hAnsi="Arial" w:cs="Arial"/>
                <w:sz w:val="24"/>
                <w:szCs w:val="24"/>
              </w:rPr>
              <w:lastRenderedPageBreak/>
              <w:t>ensure they are ready for use by the End User</w:t>
            </w: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85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7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11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3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r>
      <w:tr w:rsidR="00FE5F7D">
        <w:trPr>
          <w:trHeight w:val="2550"/>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Monthly Card Management Fee</w:t>
            </w:r>
          </w:p>
        </w:tc>
        <w:tc>
          <w:tcPr>
            <w:tcW w:w="37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The Component Price for all aspects of the Suppliers' Service with regards to the management of Cards, including but not exclusive to: card production, distribution, Buyer account management, Management Information provided to the Buyer, access and mainten</w:t>
            </w:r>
            <w:r>
              <w:rPr>
                <w:rFonts w:ascii="Arial" w:eastAsia="Arial" w:hAnsi="Arial" w:cs="Arial"/>
                <w:sz w:val="24"/>
                <w:szCs w:val="24"/>
              </w:rPr>
              <w:t>ance of the Online Platform.</w:t>
            </w: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85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7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11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3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r>
      <w:tr w:rsidR="00FE5F7D">
        <w:trPr>
          <w:trHeight w:val="975"/>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Card Load/Reload</w:t>
            </w:r>
          </w:p>
        </w:tc>
        <w:tc>
          <w:tcPr>
            <w:tcW w:w="37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The Supplier's loading of funds onto the Card, as per the value specified by the Buyer</w:t>
            </w: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85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7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11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3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r>
      <w:tr w:rsidR="00FE5F7D">
        <w:trPr>
          <w:trHeight w:val="1425"/>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Outbank Payment</w:t>
            </w:r>
          </w:p>
        </w:tc>
        <w:tc>
          <w:tcPr>
            <w:tcW w:w="37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The Supplier enables the facility for the End-User of Reloadable Prepaid Cards to initiate payments from their Prepaid Card Account to a bank account</w:t>
            </w: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85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7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11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3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r>
      <w:tr w:rsidR="00FE5F7D">
        <w:trPr>
          <w:trHeight w:val="2550"/>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lastRenderedPageBreak/>
              <w:t>Direct Debit</w:t>
            </w:r>
          </w:p>
        </w:tc>
        <w:tc>
          <w:tcPr>
            <w:tcW w:w="37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 xml:space="preserve">The Component Price when the Buyer requires the Supplier to enable the facility for the End User to set up a Direct Debit on their PrePaid Card account, that allows a third party to transfer money from the End Users account on agreed dates, for example in </w:t>
            </w:r>
            <w:r>
              <w:rPr>
                <w:rFonts w:ascii="Arial" w:eastAsia="Arial" w:hAnsi="Arial" w:cs="Arial"/>
                <w:sz w:val="24"/>
                <w:szCs w:val="24"/>
              </w:rPr>
              <w:t>order to pay bills on a monthly occurrence</w:t>
            </w: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85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7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11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3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r>
      <w:tr w:rsidR="00FE5F7D">
        <w:trPr>
          <w:trHeight w:val="1200"/>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ATM Withdrawal</w:t>
            </w:r>
          </w:p>
        </w:tc>
        <w:tc>
          <w:tcPr>
            <w:tcW w:w="37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The Component Price when the Buyer requires the Supplier to provide the facility for the End User to withdraw cash via an ATM</w:t>
            </w: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85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7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11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3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r>
      <w:tr w:rsidR="00FE5F7D">
        <w:trPr>
          <w:trHeight w:val="1875"/>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POS (Point Of Sale)</w:t>
            </w:r>
          </w:p>
        </w:tc>
        <w:tc>
          <w:tcPr>
            <w:tcW w:w="37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The Component Price when the Buyer requires that the Supplier provides the facility for the end user to purchase goods and services through point of sale transactions including but not exclusive to e-commerce transactions</w:t>
            </w: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85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7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11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3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r>
      <w:tr w:rsidR="00FE5F7D">
        <w:trPr>
          <w:trHeight w:val="1200"/>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lastRenderedPageBreak/>
              <w:t>Unsuccessful Transactions</w:t>
            </w:r>
          </w:p>
        </w:tc>
        <w:tc>
          <w:tcPr>
            <w:tcW w:w="37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The Component of the Supplier's Price that relates to End User Transactions that cannot be processed successfully</w:t>
            </w: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85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7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11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3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r>
      <w:tr w:rsidR="00FE5F7D">
        <w:trPr>
          <w:trHeight w:val="1650"/>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Redemption</w:t>
            </w:r>
          </w:p>
        </w:tc>
        <w:tc>
          <w:tcPr>
            <w:tcW w:w="37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The Component Part of the Price where the Buyer requires the Supplier to redeem funds from Prepaid Cards for example due to Card Closure at the request of the Buyer.</w:t>
            </w: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85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7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11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3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r>
      <w:tr w:rsidR="00FE5F7D">
        <w:trPr>
          <w:trHeight w:val="1200"/>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Monthly Client Support Line Fee</w:t>
            </w:r>
          </w:p>
        </w:tc>
        <w:tc>
          <w:tcPr>
            <w:tcW w:w="37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The Component of the Supplier's price relating to Customer Service as defined in Framework Schedule 3 (Framework Specification)</w:t>
            </w: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85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7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11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3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r>
      <w:tr w:rsidR="00FE5F7D">
        <w:trPr>
          <w:trHeight w:val="930"/>
        </w:trPr>
        <w:tc>
          <w:tcPr>
            <w:tcW w:w="1950" w:type="dxa"/>
            <w:tcBorders>
              <w:top w:val="single" w:sz="6" w:space="0" w:color="CCCCCC"/>
              <w:left w:val="single" w:sz="6" w:space="0" w:color="000000"/>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Component</w:t>
            </w:r>
          </w:p>
        </w:tc>
        <w:tc>
          <w:tcPr>
            <w:tcW w:w="3735" w:type="dxa"/>
            <w:tcBorders>
              <w:top w:val="single" w:sz="6" w:space="0" w:color="CCCCCC"/>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Volume of Cards</w:t>
            </w:r>
          </w:p>
        </w:tc>
        <w:tc>
          <w:tcPr>
            <w:tcW w:w="1080" w:type="dxa"/>
            <w:tcBorders>
              <w:top w:val="single" w:sz="6" w:space="0" w:color="CCCCCC"/>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0-250 cards</w:t>
            </w:r>
          </w:p>
        </w:tc>
        <w:tc>
          <w:tcPr>
            <w:tcW w:w="1035" w:type="dxa"/>
            <w:tcBorders>
              <w:top w:val="single" w:sz="6" w:space="0" w:color="CCCCCC"/>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251-500</w:t>
            </w:r>
          </w:p>
        </w:tc>
        <w:tc>
          <w:tcPr>
            <w:tcW w:w="855" w:type="dxa"/>
            <w:tcBorders>
              <w:top w:val="single" w:sz="6" w:space="0" w:color="CCCCCC"/>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501- 1000</w:t>
            </w:r>
          </w:p>
        </w:tc>
        <w:tc>
          <w:tcPr>
            <w:tcW w:w="750" w:type="dxa"/>
            <w:tcBorders>
              <w:top w:val="single" w:sz="6" w:space="0" w:color="CCCCCC"/>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1001- 3000</w:t>
            </w:r>
          </w:p>
        </w:tc>
        <w:tc>
          <w:tcPr>
            <w:tcW w:w="1110" w:type="dxa"/>
            <w:tcBorders>
              <w:top w:val="single" w:sz="6" w:space="0" w:color="CCCCCC"/>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3001-5000</w:t>
            </w:r>
          </w:p>
        </w:tc>
        <w:tc>
          <w:tcPr>
            <w:tcW w:w="1080" w:type="dxa"/>
            <w:tcBorders>
              <w:top w:val="single" w:sz="6" w:space="0" w:color="CCCCCC"/>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5001- 10000</w:t>
            </w:r>
          </w:p>
        </w:tc>
        <w:tc>
          <w:tcPr>
            <w:tcW w:w="945" w:type="dxa"/>
            <w:tcBorders>
              <w:top w:val="single" w:sz="6" w:space="0" w:color="CCCCCC"/>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10001- 20000</w:t>
            </w:r>
          </w:p>
        </w:tc>
        <w:tc>
          <w:tcPr>
            <w:tcW w:w="930" w:type="dxa"/>
            <w:tcBorders>
              <w:top w:val="single" w:sz="6" w:space="0" w:color="CCCCCC"/>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20001+</w:t>
            </w:r>
          </w:p>
        </w:tc>
      </w:tr>
      <w:tr w:rsidR="00FE5F7D">
        <w:trPr>
          <w:trHeight w:val="1245"/>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Limited Load Plastic Cards: (frequency) per card</w:t>
            </w:r>
          </w:p>
        </w:tc>
        <w:tc>
          <w:tcPr>
            <w:tcW w:w="3735" w:type="dxa"/>
            <w:tcBorders>
              <w:top w:val="single" w:sz="6" w:space="0" w:color="CCCCCC"/>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Description</w:t>
            </w:r>
          </w:p>
        </w:tc>
        <w:tc>
          <w:tcPr>
            <w:tcW w:w="7785" w:type="dxa"/>
            <w:gridSpan w:val="8"/>
            <w:tcBorders>
              <w:top w:val="single" w:sz="6" w:space="0" w:color="CCCCCC"/>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ind w:left="720"/>
              <w:jc w:val="both"/>
              <w:rPr>
                <w:rFonts w:ascii="Arial" w:eastAsia="Arial" w:hAnsi="Arial" w:cs="Arial"/>
                <w:b/>
                <w:sz w:val="24"/>
                <w:szCs w:val="24"/>
              </w:rPr>
            </w:pPr>
            <w:r>
              <w:rPr>
                <w:rFonts w:ascii="Arial" w:eastAsia="Arial" w:hAnsi="Arial" w:cs="Arial"/>
                <w:b/>
                <w:sz w:val="24"/>
                <w:szCs w:val="24"/>
              </w:rPr>
              <w:t>Monthly Price</w:t>
            </w:r>
          </w:p>
        </w:tc>
      </w:tr>
      <w:tr w:rsidR="00FE5F7D">
        <w:trPr>
          <w:trHeight w:val="975"/>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lastRenderedPageBreak/>
              <w:t>Merchant Category Selection</w:t>
            </w:r>
          </w:p>
        </w:tc>
        <w:tc>
          <w:tcPr>
            <w:tcW w:w="37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Buyer requires Supplier to block or unblock a merchant category specified by the Buyer</w:t>
            </w: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85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7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11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3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r>
      <w:tr w:rsidR="00FE5F7D">
        <w:trPr>
          <w:trHeight w:val="750"/>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Generic Card Design</w:t>
            </w:r>
          </w:p>
        </w:tc>
        <w:tc>
          <w:tcPr>
            <w:tcW w:w="37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Buyer requires the Supplier's generic card design as part of the Service</w:t>
            </w: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85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7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11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3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r>
      <w:tr w:rsidR="00FE5F7D">
        <w:trPr>
          <w:trHeight w:val="975"/>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Card Activation</w:t>
            </w:r>
          </w:p>
        </w:tc>
        <w:tc>
          <w:tcPr>
            <w:tcW w:w="37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Buyer requires Supplier to activate new and replacement cards and ensure they are ready for use by the End User</w:t>
            </w: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85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7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11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3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r>
      <w:tr w:rsidR="00FE5F7D">
        <w:trPr>
          <w:trHeight w:val="2550"/>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Monthly Card Management Fee</w:t>
            </w:r>
          </w:p>
        </w:tc>
        <w:tc>
          <w:tcPr>
            <w:tcW w:w="37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The Component Price for all aspects of the Suppliers' Service with regards to the management of Cards, including but not exclusive to: card production, distribution, Buyer account management, Management Information provided to the Buyer, access and mainten</w:t>
            </w:r>
            <w:r>
              <w:rPr>
                <w:rFonts w:ascii="Arial" w:eastAsia="Arial" w:hAnsi="Arial" w:cs="Arial"/>
                <w:sz w:val="24"/>
                <w:szCs w:val="24"/>
              </w:rPr>
              <w:t>ance of the Online Platform.</w:t>
            </w: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85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7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11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3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r>
      <w:tr w:rsidR="00FE5F7D">
        <w:trPr>
          <w:trHeight w:val="975"/>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lastRenderedPageBreak/>
              <w:t>Card Load/Reload</w:t>
            </w:r>
          </w:p>
        </w:tc>
        <w:tc>
          <w:tcPr>
            <w:tcW w:w="37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The Supplier's loading of funds onto the Card, as per the value specified by the Buyer</w:t>
            </w: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85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7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11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3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r>
      <w:tr w:rsidR="00FE5F7D">
        <w:trPr>
          <w:trHeight w:val="1200"/>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ATM Withdrawal</w:t>
            </w:r>
          </w:p>
        </w:tc>
        <w:tc>
          <w:tcPr>
            <w:tcW w:w="37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The Component Price when the Buyer requires the Supplier to provide the facility for the End User to withdraw cash via an ATM</w:t>
            </w: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85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7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11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3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r>
      <w:tr w:rsidR="00FE5F7D">
        <w:trPr>
          <w:trHeight w:val="1875"/>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POS (Point Of Sale)</w:t>
            </w:r>
          </w:p>
        </w:tc>
        <w:tc>
          <w:tcPr>
            <w:tcW w:w="37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The Component Price when the Buyer requires that the Supplier provides the facility for the end user to purchase goods and services through point of sale transactions including but not exclusive to e-commerce transactions</w:t>
            </w: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85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7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11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3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r>
      <w:tr w:rsidR="00FE5F7D">
        <w:trPr>
          <w:trHeight w:val="1200"/>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Unsuccessful Transactions</w:t>
            </w:r>
          </w:p>
        </w:tc>
        <w:tc>
          <w:tcPr>
            <w:tcW w:w="37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The Component of the Supplier's Price that relates to End User Transactions that cannot be processed successfully</w:t>
            </w: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85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7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11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3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r>
      <w:tr w:rsidR="00FE5F7D">
        <w:trPr>
          <w:trHeight w:val="1650"/>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lastRenderedPageBreak/>
              <w:t>Redemption</w:t>
            </w:r>
          </w:p>
        </w:tc>
        <w:tc>
          <w:tcPr>
            <w:tcW w:w="37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The Component Part of the Price where the Buyer requires the Supplier to redeem funds from Prepaid Cards for example due to Card Closure at the request of the Buyer.</w:t>
            </w: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85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7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11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3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r>
      <w:tr w:rsidR="00FE5F7D">
        <w:trPr>
          <w:trHeight w:val="1200"/>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Monthly Client Support Line Fee</w:t>
            </w:r>
          </w:p>
        </w:tc>
        <w:tc>
          <w:tcPr>
            <w:tcW w:w="37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The Component of the Supplier's price relating to Customer Service as defined in Framework Schedule 3 (Framework Specification)</w:t>
            </w:r>
          </w:p>
          <w:p w:rsidR="00FE5F7D" w:rsidRDefault="00FE5F7D">
            <w:pPr>
              <w:jc w:val="both"/>
              <w:rPr>
                <w:rFonts w:ascii="Arial" w:eastAsia="Arial" w:hAnsi="Arial" w:cs="Arial"/>
                <w:sz w:val="24"/>
                <w:szCs w:val="24"/>
              </w:rPr>
            </w:pP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85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7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11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3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r>
      <w:tr w:rsidR="00FE5F7D">
        <w:trPr>
          <w:trHeight w:val="930"/>
        </w:trPr>
        <w:tc>
          <w:tcPr>
            <w:tcW w:w="1950" w:type="dxa"/>
            <w:tcBorders>
              <w:top w:val="single" w:sz="6" w:space="0" w:color="CCCCCC"/>
              <w:left w:val="single" w:sz="6" w:space="0" w:color="000000"/>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Component</w:t>
            </w:r>
          </w:p>
        </w:tc>
        <w:tc>
          <w:tcPr>
            <w:tcW w:w="3735" w:type="dxa"/>
            <w:tcBorders>
              <w:top w:val="single" w:sz="6" w:space="0" w:color="CCCCCC"/>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Volume of Cards</w:t>
            </w:r>
          </w:p>
        </w:tc>
        <w:tc>
          <w:tcPr>
            <w:tcW w:w="1080" w:type="dxa"/>
            <w:tcBorders>
              <w:top w:val="single" w:sz="6" w:space="0" w:color="CCCCCC"/>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 xml:space="preserve">0-250 </w:t>
            </w:r>
          </w:p>
        </w:tc>
        <w:tc>
          <w:tcPr>
            <w:tcW w:w="1035" w:type="dxa"/>
            <w:tcBorders>
              <w:top w:val="single" w:sz="6" w:space="0" w:color="CCCCCC"/>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251-500</w:t>
            </w:r>
          </w:p>
        </w:tc>
        <w:tc>
          <w:tcPr>
            <w:tcW w:w="855" w:type="dxa"/>
            <w:tcBorders>
              <w:top w:val="single" w:sz="6" w:space="0" w:color="CCCCCC"/>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501- 1000</w:t>
            </w:r>
          </w:p>
        </w:tc>
        <w:tc>
          <w:tcPr>
            <w:tcW w:w="750" w:type="dxa"/>
            <w:tcBorders>
              <w:top w:val="single" w:sz="6" w:space="0" w:color="CCCCCC"/>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1001- 3000</w:t>
            </w:r>
          </w:p>
        </w:tc>
        <w:tc>
          <w:tcPr>
            <w:tcW w:w="1110" w:type="dxa"/>
            <w:tcBorders>
              <w:top w:val="single" w:sz="6" w:space="0" w:color="CCCCCC"/>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3001-5000</w:t>
            </w:r>
          </w:p>
        </w:tc>
        <w:tc>
          <w:tcPr>
            <w:tcW w:w="1080" w:type="dxa"/>
            <w:tcBorders>
              <w:top w:val="single" w:sz="6" w:space="0" w:color="CCCCCC"/>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5001- 10000</w:t>
            </w:r>
          </w:p>
        </w:tc>
        <w:tc>
          <w:tcPr>
            <w:tcW w:w="945" w:type="dxa"/>
            <w:tcBorders>
              <w:top w:val="single" w:sz="6" w:space="0" w:color="CCCCCC"/>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10001 -20000</w:t>
            </w:r>
          </w:p>
        </w:tc>
        <w:tc>
          <w:tcPr>
            <w:tcW w:w="930" w:type="dxa"/>
            <w:tcBorders>
              <w:top w:val="single" w:sz="6" w:space="0" w:color="CCCCCC"/>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20001+</w:t>
            </w:r>
          </w:p>
        </w:tc>
      </w:tr>
      <w:tr w:rsidR="00FE5F7D">
        <w:trPr>
          <w:trHeight w:val="1155"/>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sz w:val="24"/>
                <w:szCs w:val="24"/>
              </w:rPr>
              <w:t>I</w:t>
            </w:r>
            <w:r>
              <w:rPr>
                <w:rFonts w:ascii="Arial" w:eastAsia="Arial" w:hAnsi="Arial" w:cs="Arial"/>
                <w:b/>
                <w:sz w:val="24"/>
                <w:szCs w:val="24"/>
              </w:rPr>
              <w:t>nstant Use Use Plastic Cards : per card</w:t>
            </w:r>
          </w:p>
        </w:tc>
        <w:tc>
          <w:tcPr>
            <w:tcW w:w="37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b/>
                <w:sz w:val="24"/>
                <w:szCs w:val="24"/>
              </w:rPr>
            </w:pPr>
            <w:r>
              <w:rPr>
                <w:rFonts w:ascii="Arial" w:eastAsia="Arial" w:hAnsi="Arial" w:cs="Arial"/>
                <w:b/>
                <w:sz w:val="24"/>
                <w:szCs w:val="24"/>
              </w:rPr>
              <w:t>Description</w:t>
            </w:r>
          </w:p>
        </w:tc>
        <w:tc>
          <w:tcPr>
            <w:tcW w:w="7785" w:type="dxa"/>
            <w:gridSpan w:val="8"/>
            <w:tcBorders>
              <w:top w:val="single" w:sz="6" w:space="0" w:color="CCCCCC"/>
              <w:left w:val="single" w:sz="6" w:space="0" w:color="CCCCCC"/>
              <w:bottom w:val="single" w:sz="6" w:space="0" w:color="000000"/>
              <w:right w:val="single" w:sz="6" w:space="0" w:color="000000"/>
            </w:tcBorders>
            <w:shd w:val="clear" w:color="auto" w:fill="999999"/>
            <w:tcMar>
              <w:top w:w="40" w:type="dxa"/>
              <w:left w:w="40" w:type="dxa"/>
              <w:bottom w:w="40" w:type="dxa"/>
              <w:right w:w="40" w:type="dxa"/>
            </w:tcMar>
            <w:vAlign w:val="bottom"/>
          </w:tcPr>
          <w:p w:rsidR="00FE5F7D" w:rsidRDefault="000A7B70">
            <w:pPr>
              <w:ind w:left="720"/>
              <w:jc w:val="both"/>
              <w:rPr>
                <w:rFonts w:ascii="Arial" w:eastAsia="Arial" w:hAnsi="Arial" w:cs="Arial"/>
                <w:b/>
                <w:sz w:val="24"/>
                <w:szCs w:val="24"/>
              </w:rPr>
            </w:pPr>
            <w:r>
              <w:rPr>
                <w:rFonts w:ascii="Arial" w:eastAsia="Arial" w:hAnsi="Arial" w:cs="Arial"/>
                <w:b/>
                <w:sz w:val="24"/>
                <w:szCs w:val="24"/>
              </w:rPr>
              <w:t>Monthly Price</w:t>
            </w:r>
          </w:p>
        </w:tc>
      </w:tr>
      <w:tr w:rsidR="00FE5F7D">
        <w:trPr>
          <w:trHeight w:val="975"/>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Merchant Category Selection</w:t>
            </w:r>
          </w:p>
        </w:tc>
        <w:tc>
          <w:tcPr>
            <w:tcW w:w="37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Buyer requires Supplier to block or unblock a merchant category specified by the Buyer</w:t>
            </w: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85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7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11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3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r>
      <w:tr w:rsidR="00FE5F7D">
        <w:trPr>
          <w:trHeight w:val="750"/>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lastRenderedPageBreak/>
              <w:t>Generic Card Design</w:t>
            </w:r>
          </w:p>
        </w:tc>
        <w:tc>
          <w:tcPr>
            <w:tcW w:w="37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Buyer requires the Supplier's generic card design as part of the Service</w:t>
            </w: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85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7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11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3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r>
      <w:tr w:rsidR="00FE5F7D">
        <w:trPr>
          <w:trHeight w:val="975"/>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Card Activation</w:t>
            </w:r>
          </w:p>
        </w:tc>
        <w:tc>
          <w:tcPr>
            <w:tcW w:w="37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Buyer requires Supplier to activate new and replacement cards and ensure they are ready for use by the End User</w:t>
            </w: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85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7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11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3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r>
      <w:tr w:rsidR="00FE5F7D">
        <w:trPr>
          <w:trHeight w:val="2550"/>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Monthly Card Management Fee</w:t>
            </w:r>
          </w:p>
        </w:tc>
        <w:tc>
          <w:tcPr>
            <w:tcW w:w="37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The Component Price for all aspects of the Suppliers' Service with regards to the management of Cards, including but not exclusive to: card production, distribution, Buyer account management, Management Information provided to the Buyer, access and mainten</w:t>
            </w:r>
            <w:r>
              <w:rPr>
                <w:rFonts w:ascii="Arial" w:eastAsia="Arial" w:hAnsi="Arial" w:cs="Arial"/>
                <w:sz w:val="24"/>
                <w:szCs w:val="24"/>
              </w:rPr>
              <w:t>ance of the Online Platform.</w:t>
            </w: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85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7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11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3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r>
      <w:tr w:rsidR="00FE5F7D">
        <w:trPr>
          <w:trHeight w:val="975"/>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Card Load/Reload</w:t>
            </w:r>
          </w:p>
        </w:tc>
        <w:tc>
          <w:tcPr>
            <w:tcW w:w="37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The Supplier's loading of funds onto the Card, as per the value specified by the Buyer</w:t>
            </w: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85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7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11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3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r>
      <w:tr w:rsidR="00FE5F7D">
        <w:trPr>
          <w:trHeight w:val="1200"/>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lastRenderedPageBreak/>
              <w:t>ATM Withdrawal</w:t>
            </w:r>
          </w:p>
        </w:tc>
        <w:tc>
          <w:tcPr>
            <w:tcW w:w="37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The Component Price when the Buyer requires the Supplier to provide the facility for the End User to withdraw cash via an ATM</w:t>
            </w: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85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7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11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3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r>
      <w:tr w:rsidR="00FE5F7D">
        <w:trPr>
          <w:trHeight w:val="1875"/>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POS (Point Of Sale)</w:t>
            </w:r>
          </w:p>
        </w:tc>
        <w:tc>
          <w:tcPr>
            <w:tcW w:w="37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The Component Price when the Buyer requires that the Supplier provides the facility for the end user to purchase goods and services through point of sale transactions including but not exclusive to e-commerce transactions</w:t>
            </w: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85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7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11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3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r>
      <w:tr w:rsidR="00FE5F7D">
        <w:trPr>
          <w:trHeight w:val="1200"/>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Unsuccessful Transactions</w:t>
            </w:r>
          </w:p>
        </w:tc>
        <w:tc>
          <w:tcPr>
            <w:tcW w:w="37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The Component of the Supplier's Price that relates to End User Transactions that cannot be processed successfully</w:t>
            </w: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85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7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11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3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r>
      <w:tr w:rsidR="00FE5F7D">
        <w:trPr>
          <w:trHeight w:val="1650"/>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Redemption</w:t>
            </w:r>
          </w:p>
        </w:tc>
        <w:tc>
          <w:tcPr>
            <w:tcW w:w="37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The Component Part of the Price where the Buyer requires the Supplier to redeem funds from Prepaid Cards for example due to Card Closure at the request of the Buyer.</w:t>
            </w: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85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7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11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30" w:type="dxa"/>
            <w:tcBorders>
              <w:top w:val="single" w:sz="6" w:space="0" w:color="CCCCCC"/>
              <w:left w:val="single" w:sz="6" w:space="0" w:color="CCCCCC"/>
              <w:bottom w:val="single" w:sz="8"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r>
      <w:tr w:rsidR="00FE5F7D">
        <w:trPr>
          <w:trHeight w:val="1200"/>
        </w:trPr>
        <w:tc>
          <w:tcPr>
            <w:tcW w:w="195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lastRenderedPageBreak/>
              <w:t>Monthly Client Support Line Fee</w:t>
            </w:r>
          </w:p>
        </w:tc>
        <w:tc>
          <w:tcPr>
            <w:tcW w:w="37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FE5F7D" w:rsidRDefault="000A7B70">
            <w:pPr>
              <w:jc w:val="both"/>
              <w:rPr>
                <w:rFonts w:ascii="Arial" w:eastAsia="Arial" w:hAnsi="Arial" w:cs="Arial"/>
                <w:sz w:val="24"/>
                <w:szCs w:val="24"/>
              </w:rPr>
            </w:pPr>
            <w:r>
              <w:rPr>
                <w:rFonts w:ascii="Arial" w:eastAsia="Arial" w:hAnsi="Arial" w:cs="Arial"/>
                <w:sz w:val="24"/>
                <w:szCs w:val="24"/>
              </w:rPr>
              <w:t>The Component of the Supplier's price relating to Customer Service as defined in Framework Schedule 3 (Framework Specification)</w:t>
            </w: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85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7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11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108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45" w:type="dxa"/>
            <w:tcBorders>
              <w:top w:val="single" w:sz="6" w:space="0" w:color="CCCCCC"/>
              <w:left w:val="single" w:sz="6" w:space="0" w:color="CCCCCC"/>
              <w:bottom w:val="single" w:sz="6" w:space="0" w:color="000000"/>
              <w:right w:val="single" w:sz="8" w:space="0" w:color="000000"/>
            </w:tcBorders>
            <w:shd w:val="clear" w:color="auto" w:fill="FFFFFF"/>
            <w:tcMar>
              <w:top w:w="40" w:type="dxa"/>
              <w:left w:w="40" w:type="dxa"/>
              <w:bottom w:w="40" w:type="dxa"/>
              <w:right w:w="40" w:type="dxa"/>
            </w:tcMar>
            <w:vAlign w:val="bottom"/>
          </w:tcPr>
          <w:p w:rsidR="00FE5F7D" w:rsidRDefault="00FE5F7D">
            <w:pPr>
              <w:ind w:left="720"/>
              <w:jc w:val="both"/>
              <w:rPr>
                <w:rFonts w:ascii="Arial" w:eastAsia="Arial" w:hAnsi="Arial" w:cs="Arial"/>
                <w:b/>
                <w:sz w:val="24"/>
                <w:szCs w:val="24"/>
              </w:rPr>
            </w:pPr>
          </w:p>
        </w:tc>
        <w:tc>
          <w:tcPr>
            <w:tcW w:w="9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E5F7D" w:rsidRDefault="00FE5F7D">
            <w:pPr>
              <w:ind w:left="720"/>
              <w:jc w:val="both"/>
              <w:rPr>
                <w:rFonts w:ascii="Arial" w:eastAsia="Arial" w:hAnsi="Arial" w:cs="Arial"/>
                <w:b/>
                <w:sz w:val="24"/>
                <w:szCs w:val="24"/>
              </w:rPr>
            </w:pPr>
          </w:p>
        </w:tc>
      </w:tr>
    </w:tbl>
    <w:p w:rsidR="00FE5F7D" w:rsidRDefault="00FE5F7D">
      <w:pPr>
        <w:ind w:left="720"/>
        <w:jc w:val="both"/>
        <w:rPr>
          <w:rFonts w:ascii="Arial" w:eastAsia="Arial" w:hAnsi="Arial" w:cs="Arial"/>
          <w:b/>
          <w:sz w:val="24"/>
          <w:szCs w:val="24"/>
        </w:rPr>
      </w:pPr>
    </w:p>
    <w:p w:rsidR="00FE5F7D" w:rsidRDefault="00FE5F7D">
      <w:pPr>
        <w:ind w:left="720"/>
        <w:jc w:val="both"/>
        <w:rPr>
          <w:rFonts w:ascii="Arial" w:eastAsia="Arial" w:hAnsi="Arial" w:cs="Arial"/>
          <w:b/>
          <w:sz w:val="24"/>
          <w:szCs w:val="24"/>
        </w:rPr>
      </w:pPr>
    </w:p>
    <w:p w:rsidR="00FE5F7D" w:rsidRDefault="000A7B70">
      <w:pPr>
        <w:numPr>
          <w:ilvl w:val="0"/>
          <w:numId w:val="1"/>
        </w:numPr>
        <w:jc w:val="both"/>
        <w:rPr>
          <w:rFonts w:ascii="Arial" w:eastAsia="Arial" w:hAnsi="Arial" w:cs="Arial"/>
          <w:b/>
          <w:sz w:val="24"/>
          <w:szCs w:val="24"/>
        </w:rPr>
      </w:pPr>
      <w:r>
        <w:rPr>
          <w:rFonts w:ascii="Arial" w:eastAsia="Arial" w:hAnsi="Arial" w:cs="Arial"/>
          <w:b/>
          <w:sz w:val="24"/>
          <w:szCs w:val="24"/>
        </w:rPr>
        <w:t xml:space="preserve">Virtual Prepaid Cards        </w:t>
      </w:r>
    </w:p>
    <w:p w:rsidR="00FE5F7D" w:rsidRDefault="000A7B70">
      <w:pPr>
        <w:ind w:left="1440"/>
        <w:jc w:val="both"/>
        <w:rPr>
          <w:rFonts w:ascii="Arial" w:eastAsia="Arial" w:hAnsi="Arial" w:cs="Arial"/>
          <w:b/>
          <w:sz w:val="24"/>
          <w:szCs w:val="24"/>
        </w:rPr>
      </w:pPr>
      <w:r>
        <w:rPr>
          <w:rFonts w:ascii="Arial" w:eastAsia="Arial" w:hAnsi="Arial" w:cs="Arial"/>
          <w:b/>
          <w:sz w:val="24"/>
          <w:szCs w:val="24"/>
        </w:rPr>
        <w:t xml:space="preserve"> </w:t>
      </w:r>
    </w:p>
    <w:p w:rsidR="00FE5F7D" w:rsidRDefault="000A7B70">
      <w:pPr>
        <w:numPr>
          <w:ilvl w:val="1"/>
          <w:numId w:val="1"/>
        </w:numPr>
        <w:spacing w:after="0"/>
        <w:jc w:val="both"/>
        <w:rPr>
          <w:rFonts w:ascii="Arial" w:eastAsia="Arial" w:hAnsi="Arial" w:cs="Arial"/>
          <w:sz w:val="24"/>
          <w:szCs w:val="24"/>
        </w:rPr>
      </w:pPr>
      <w:r>
        <w:rPr>
          <w:rFonts w:ascii="Arial" w:eastAsia="Arial" w:hAnsi="Arial" w:cs="Arial"/>
          <w:sz w:val="24"/>
          <w:szCs w:val="24"/>
        </w:rPr>
        <w:t>The Supplier shall calculate the Charges using Lot 2 Table 3 below when a Buyer selects Virtual Prepaid Cards Services</w:t>
      </w:r>
    </w:p>
    <w:p w:rsidR="00FE5F7D" w:rsidRDefault="00FE5F7D">
      <w:pPr>
        <w:spacing w:after="0"/>
        <w:ind w:left="1440"/>
        <w:jc w:val="both"/>
        <w:rPr>
          <w:rFonts w:ascii="Arial" w:eastAsia="Arial" w:hAnsi="Arial" w:cs="Arial"/>
          <w:sz w:val="24"/>
          <w:szCs w:val="24"/>
        </w:rPr>
      </w:pPr>
    </w:p>
    <w:p w:rsidR="00FE5F7D" w:rsidRDefault="000A7B70">
      <w:pPr>
        <w:numPr>
          <w:ilvl w:val="1"/>
          <w:numId w:val="1"/>
        </w:numPr>
        <w:jc w:val="both"/>
        <w:rPr>
          <w:rFonts w:ascii="Arial" w:eastAsia="Arial" w:hAnsi="Arial" w:cs="Arial"/>
          <w:sz w:val="24"/>
          <w:szCs w:val="24"/>
        </w:rPr>
      </w:pPr>
      <w:r>
        <w:rPr>
          <w:rFonts w:ascii="Arial" w:eastAsia="Arial" w:hAnsi="Arial" w:cs="Arial"/>
          <w:sz w:val="24"/>
          <w:szCs w:val="24"/>
        </w:rPr>
        <w:t>The Supplier shall calculate the Charges in the month within which the Buyer requests the Service.</w:t>
      </w:r>
    </w:p>
    <w:p w:rsidR="00FE5F7D" w:rsidRDefault="000A7B70">
      <w:pPr>
        <w:jc w:val="both"/>
        <w:rPr>
          <w:rFonts w:ascii="Arial" w:eastAsia="Arial" w:hAnsi="Arial" w:cs="Arial"/>
          <w:b/>
          <w:sz w:val="24"/>
          <w:szCs w:val="24"/>
        </w:rPr>
      </w:pPr>
      <w:r>
        <w:rPr>
          <w:rFonts w:ascii="Arial" w:eastAsia="Arial" w:hAnsi="Arial" w:cs="Arial"/>
          <w:b/>
          <w:sz w:val="24"/>
          <w:szCs w:val="24"/>
        </w:rPr>
        <w:t>Lot 2 Table 3</w:t>
      </w:r>
    </w:p>
    <w:tbl>
      <w:tblPr>
        <w:tblStyle w:val="a2"/>
        <w:tblW w:w="9450" w:type="dxa"/>
        <w:tblBorders>
          <w:top w:val="nil"/>
          <w:left w:val="nil"/>
          <w:bottom w:val="nil"/>
          <w:right w:val="nil"/>
          <w:insideH w:val="nil"/>
          <w:insideV w:val="nil"/>
        </w:tblBorders>
        <w:tblLayout w:type="fixed"/>
        <w:tblLook w:val="0600" w:firstRow="0" w:lastRow="0" w:firstColumn="0" w:lastColumn="0" w:noHBand="1" w:noVBand="1"/>
      </w:tblPr>
      <w:tblGrid>
        <w:gridCol w:w="8010"/>
        <w:gridCol w:w="1440"/>
      </w:tblGrid>
      <w:tr w:rsidR="00FE5F7D">
        <w:trPr>
          <w:trHeight w:val="300"/>
        </w:trPr>
        <w:tc>
          <w:tcPr>
            <w:tcW w:w="8010" w:type="dxa"/>
            <w:tcBorders>
              <w:top w:val="single" w:sz="12"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b/>
                <w:sz w:val="24"/>
                <w:szCs w:val="24"/>
              </w:rPr>
            </w:pPr>
            <w:r>
              <w:rPr>
                <w:rFonts w:ascii="Arial" w:eastAsia="Arial" w:hAnsi="Arial" w:cs="Arial"/>
                <w:b/>
                <w:sz w:val="24"/>
                <w:szCs w:val="24"/>
              </w:rPr>
              <w:t>Price Category</w:t>
            </w:r>
          </w:p>
        </w:tc>
        <w:tc>
          <w:tcPr>
            <w:tcW w:w="1440" w:type="dxa"/>
            <w:tcBorders>
              <w:top w:val="single" w:sz="12"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b/>
                <w:sz w:val="24"/>
                <w:szCs w:val="24"/>
              </w:rPr>
            </w:pPr>
            <w:r>
              <w:rPr>
                <w:rFonts w:ascii="Arial" w:eastAsia="Arial" w:hAnsi="Arial" w:cs="Arial"/>
                <w:b/>
                <w:sz w:val="24"/>
                <w:szCs w:val="24"/>
              </w:rPr>
              <w:t>Price (£</w:t>
            </w:r>
            <w:r>
              <w:rPr>
                <w:rFonts w:ascii="Arial" w:eastAsia="Arial" w:hAnsi="Arial" w:cs="Arial"/>
                <w:b/>
                <w:sz w:val="24"/>
                <w:szCs w:val="24"/>
              </w:rPr>
              <w:t>)</w:t>
            </w:r>
          </w:p>
        </w:tc>
      </w:tr>
      <w:tr w:rsidR="00FE5F7D">
        <w:trPr>
          <w:trHeight w:val="300"/>
        </w:trPr>
        <w:tc>
          <w:tcPr>
            <w:tcW w:w="8010"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Initial Set up Cost (One Off Cost)</w:t>
            </w:r>
          </w:p>
        </w:tc>
        <w:tc>
          <w:tcPr>
            <w:tcW w:w="1440"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r>
      <w:tr w:rsidR="00FE5F7D">
        <w:trPr>
          <w:trHeight w:val="300"/>
        </w:trPr>
        <w:tc>
          <w:tcPr>
            <w:tcW w:w="8010"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One Off Fixed Fee* -  Per Virtual Prepaid Card issued via SMS 0-30,000</w:t>
            </w:r>
          </w:p>
        </w:tc>
        <w:tc>
          <w:tcPr>
            <w:tcW w:w="1440"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r>
      <w:tr w:rsidR="00FE5F7D">
        <w:trPr>
          <w:trHeight w:val="285"/>
        </w:trPr>
        <w:tc>
          <w:tcPr>
            <w:tcW w:w="8010"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One Off Fixed Fee* -  per Virtual Prepaid Card issued via SMS 30,001+</w:t>
            </w:r>
          </w:p>
        </w:tc>
        <w:tc>
          <w:tcPr>
            <w:tcW w:w="1440"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r>
      <w:tr w:rsidR="00FE5F7D">
        <w:trPr>
          <w:trHeight w:val="300"/>
        </w:trPr>
        <w:tc>
          <w:tcPr>
            <w:tcW w:w="8010"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One Off Fixed Fee* - Per Virtual Prepaid Card issued via Email 0-30,000</w:t>
            </w:r>
          </w:p>
        </w:tc>
        <w:tc>
          <w:tcPr>
            <w:tcW w:w="1440"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r>
      <w:tr w:rsidR="00FE5F7D">
        <w:trPr>
          <w:trHeight w:val="300"/>
        </w:trPr>
        <w:tc>
          <w:tcPr>
            <w:tcW w:w="8010"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One Off Fixed Fee* - Per Virtual PrePaid Card issued via Email 30,000+</w:t>
            </w:r>
          </w:p>
        </w:tc>
        <w:tc>
          <w:tcPr>
            <w:tcW w:w="1440"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tcPr>
          <w:p w:rsidR="00FE5F7D" w:rsidRDefault="00FE5F7D">
            <w:pPr>
              <w:widowControl w:val="0"/>
              <w:spacing w:after="0"/>
              <w:jc w:val="both"/>
              <w:rPr>
                <w:rFonts w:ascii="Arial" w:eastAsia="Arial" w:hAnsi="Arial" w:cs="Arial"/>
                <w:sz w:val="24"/>
                <w:szCs w:val="24"/>
              </w:rPr>
            </w:pPr>
          </w:p>
        </w:tc>
      </w:tr>
    </w:tbl>
    <w:p w:rsidR="00FE5F7D" w:rsidRDefault="00FE5F7D">
      <w:pPr>
        <w:jc w:val="both"/>
        <w:rPr>
          <w:rFonts w:ascii="Arial" w:eastAsia="Arial" w:hAnsi="Arial" w:cs="Arial"/>
          <w:b/>
          <w:sz w:val="24"/>
          <w:szCs w:val="24"/>
        </w:rPr>
      </w:pPr>
    </w:p>
    <w:p w:rsidR="00FE5F7D" w:rsidRDefault="00FE5F7D">
      <w:pPr>
        <w:jc w:val="both"/>
        <w:rPr>
          <w:rFonts w:ascii="Arial" w:eastAsia="Arial" w:hAnsi="Arial" w:cs="Arial"/>
          <w:b/>
          <w:sz w:val="24"/>
          <w:szCs w:val="24"/>
        </w:rPr>
      </w:pPr>
    </w:p>
    <w:p w:rsidR="00FE5F7D" w:rsidRDefault="00FE5F7D">
      <w:pPr>
        <w:jc w:val="both"/>
        <w:rPr>
          <w:rFonts w:ascii="Arial" w:eastAsia="Arial" w:hAnsi="Arial" w:cs="Arial"/>
          <w:b/>
          <w:sz w:val="24"/>
          <w:szCs w:val="24"/>
        </w:rPr>
      </w:pPr>
    </w:p>
    <w:p w:rsidR="00FE5F7D" w:rsidRDefault="00FE5F7D">
      <w:pPr>
        <w:jc w:val="both"/>
        <w:rPr>
          <w:rFonts w:ascii="Arial" w:eastAsia="Arial" w:hAnsi="Arial" w:cs="Arial"/>
          <w:b/>
          <w:sz w:val="24"/>
          <w:szCs w:val="24"/>
        </w:rPr>
      </w:pPr>
    </w:p>
    <w:p w:rsidR="00FE5F7D" w:rsidRDefault="00FE5F7D">
      <w:pPr>
        <w:jc w:val="both"/>
        <w:rPr>
          <w:rFonts w:ascii="Arial" w:eastAsia="Arial" w:hAnsi="Arial" w:cs="Arial"/>
          <w:b/>
          <w:sz w:val="24"/>
          <w:szCs w:val="24"/>
        </w:rPr>
      </w:pPr>
    </w:p>
    <w:p w:rsidR="00FE5F7D" w:rsidRDefault="00FE5F7D">
      <w:pPr>
        <w:jc w:val="both"/>
        <w:rPr>
          <w:rFonts w:ascii="Arial" w:eastAsia="Arial" w:hAnsi="Arial" w:cs="Arial"/>
          <w:b/>
          <w:sz w:val="24"/>
          <w:szCs w:val="24"/>
        </w:rPr>
      </w:pPr>
    </w:p>
    <w:p w:rsidR="00FE5F7D" w:rsidRDefault="00FE5F7D">
      <w:pPr>
        <w:jc w:val="both"/>
        <w:rPr>
          <w:rFonts w:ascii="Arial" w:eastAsia="Arial" w:hAnsi="Arial" w:cs="Arial"/>
          <w:b/>
          <w:sz w:val="24"/>
          <w:szCs w:val="24"/>
        </w:rPr>
      </w:pPr>
    </w:p>
    <w:p w:rsidR="00FE5F7D" w:rsidRDefault="000A7B70">
      <w:pPr>
        <w:jc w:val="both"/>
        <w:rPr>
          <w:rFonts w:ascii="Arial" w:eastAsia="Arial" w:hAnsi="Arial" w:cs="Arial"/>
          <w:b/>
          <w:sz w:val="24"/>
          <w:szCs w:val="24"/>
        </w:rPr>
      </w:pPr>
      <w:r>
        <w:rPr>
          <w:rFonts w:ascii="Arial" w:eastAsia="Arial" w:hAnsi="Arial" w:cs="Arial"/>
          <w:b/>
          <w:sz w:val="24"/>
          <w:szCs w:val="24"/>
        </w:rPr>
        <w:t>Annex 3</w:t>
      </w:r>
    </w:p>
    <w:p w:rsidR="00FE5F7D" w:rsidRDefault="000A7B70">
      <w:pPr>
        <w:jc w:val="both"/>
        <w:rPr>
          <w:rFonts w:ascii="Arial" w:eastAsia="Arial" w:hAnsi="Arial" w:cs="Arial"/>
          <w:b/>
          <w:sz w:val="24"/>
          <w:szCs w:val="24"/>
        </w:rPr>
      </w:pPr>
      <w:r>
        <w:rPr>
          <w:rFonts w:ascii="Arial" w:eastAsia="Arial" w:hAnsi="Arial" w:cs="Arial"/>
          <w:b/>
          <w:sz w:val="24"/>
          <w:szCs w:val="24"/>
        </w:rPr>
        <w:t>Lot 3 Vouchers</w:t>
      </w:r>
    </w:p>
    <w:p w:rsidR="00FE5F7D" w:rsidRDefault="000A7B70">
      <w:pPr>
        <w:numPr>
          <w:ilvl w:val="0"/>
          <w:numId w:val="5"/>
        </w:numPr>
        <w:spacing w:after="0"/>
        <w:jc w:val="both"/>
        <w:rPr>
          <w:rFonts w:ascii="Arial" w:eastAsia="Arial" w:hAnsi="Arial" w:cs="Arial"/>
          <w:sz w:val="24"/>
          <w:szCs w:val="24"/>
        </w:rPr>
      </w:pPr>
      <w:r>
        <w:rPr>
          <w:rFonts w:ascii="Arial" w:eastAsia="Arial" w:hAnsi="Arial" w:cs="Arial"/>
          <w:sz w:val="24"/>
          <w:szCs w:val="24"/>
        </w:rPr>
        <w:t>The Charges for Lot 3 Vouchers are a One-Off Payment that shall be calculated using Lot 3 Table 1 below</w:t>
      </w:r>
    </w:p>
    <w:p w:rsidR="00FE5F7D" w:rsidRDefault="000A7B70">
      <w:pPr>
        <w:spacing w:after="0"/>
        <w:ind w:left="720"/>
        <w:jc w:val="both"/>
        <w:rPr>
          <w:rFonts w:ascii="Arial" w:eastAsia="Arial" w:hAnsi="Arial" w:cs="Arial"/>
          <w:sz w:val="24"/>
          <w:szCs w:val="24"/>
        </w:rPr>
      </w:pPr>
      <w:r>
        <w:rPr>
          <w:rFonts w:ascii="Arial" w:eastAsia="Arial" w:hAnsi="Arial" w:cs="Arial"/>
          <w:sz w:val="24"/>
          <w:szCs w:val="24"/>
        </w:rPr>
        <w:t xml:space="preserve"> </w:t>
      </w:r>
    </w:p>
    <w:p w:rsidR="00FE5F7D" w:rsidRDefault="000A7B70">
      <w:pPr>
        <w:widowControl w:val="0"/>
        <w:numPr>
          <w:ilvl w:val="0"/>
          <w:numId w:val="5"/>
        </w:numPr>
        <w:spacing w:after="0" w:line="240" w:lineRule="auto"/>
        <w:jc w:val="both"/>
        <w:rPr>
          <w:rFonts w:ascii="Arial" w:eastAsia="Arial" w:hAnsi="Arial" w:cs="Arial"/>
          <w:b/>
          <w:sz w:val="24"/>
          <w:szCs w:val="24"/>
        </w:rPr>
      </w:pPr>
      <w:r>
        <w:rPr>
          <w:rFonts w:ascii="Arial" w:eastAsia="Arial" w:hAnsi="Arial" w:cs="Arial"/>
          <w:b/>
          <w:sz w:val="24"/>
          <w:szCs w:val="24"/>
        </w:rPr>
        <w:t>Aggregation</w:t>
      </w:r>
    </w:p>
    <w:p w:rsidR="00FE5F7D" w:rsidRDefault="00FE5F7D">
      <w:pPr>
        <w:widowControl w:val="0"/>
        <w:spacing w:after="0" w:line="240" w:lineRule="auto"/>
        <w:ind w:left="1440"/>
        <w:jc w:val="both"/>
        <w:rPr>
          <w:rFonts w:ascii="Arial" w:eastAsia="Arial" w:hAnsi="Arial" w:cs="Arial"/>
          <w:sz w:val="24"/>
          <w:szCs w:val="24"/>
        </w:rPr>
      </w:pPr>
    </w:p>
    <w:p w:rsidR="00FE5F7D" w:rsidRDefault="000A7B70">
      <w:pPr>
        <w:widowControl w:val="0"/>
        <w:numPr>
          <w:ilvl w:val="1"/>
          <w:numId w:val="5"/>
        </w:numPr>
        <w:spacing w:after="0" w:line="240" w:lineRule="auto"/>
        <w:jc w:val="both"/>
        <w:rPr>
          <w:rFonts w:ascii="Arial" w:eastAsia="Arial" w:hAnsi="Arial" w:cs="Arial"/>
          <w:sz w:val="24"/>
          <w:szCs w:val="24"/>
        </w:rPr>
      </w:pPr>
      <w:r>
        <w:rPr>
          <w:rFonts w:ascii="Arial" w:eastAsia="Arial" w:hAnsi="Arial" w:cs="Arial"/>
          <w:sz w:val="24"/>
          <w:szCs w:val="24"/>
        </w:rPr>
        <w:t>If a Buyer places more than 1 order for the same service during any fixed twelve-month period commencing from the Call-Off Contract Commencement Date, at any point during the Call-Off Contract Period then the value of Vouchers used to calculate the Charges</w:t>
      </w:r>
      <w:r>
        <w:rPr>
          <w:rFonts w:ascii="Arial" w:eastAsia="Arial" w:hAnsi="Arial" w:cs="Arial"/>
          <w:sz w:val="24"/>
          <w:szCs w:val="24"/>
        </w:rPr>
        <w:t xml:space="preserve"> using Table 1 below, shall be the cumulative value of Vouchers that the Buyer has ordered across all orders.</w:t>
      </w:r>
    </w:p>
    <w:p w:rsidR="00FE5F7D" w:rsidRDefault="000A7B70">
      <w:pPr>
        <w:widowControl w:val="0"/>
        <w:spacing w:after="0" w:line="240" w:lineRule="auto"/>
        <w:ind w:left="1440"/>
        <w:jc w:val="both"/>
        <w:rPr>
          <w:rFonts w:ascii="Arial" w:eastAsia="Arial" w:hAnsi="Arial" w:cs="Arial"/>
          <w:sz w:val="24"/>
          <w:szCs w:val="24"/>
        </w:rPr>
      </w:pPr>
      <w:r>
        <w:rPr>
          <w:rFonts w:ascii="Arial" w:eastAsia="Arial" w:hAnsi="Arial" w:cs="Arial"/>
          <w:sz w:val="24"/>
          <w:szCs w:val="24"/>
        </w:rPr>
        <w:t xml:space="preserve"> </w:t>
      </w:r>
    </w:p>
    <w:p w:rsidR="00FE5F7D" w:rsidRDefault="000A7B70">
      <w:pPr>
        <w:widowControl w:val="0"/>
        <w:numPr>
          <w:ilvl w:val="1"/>
          <w:numId w:val="5"/>
        </w:numPr>
        <w:spacing w:after="0" w:line="240" w:lineRule="auto"/>
        <w:jc w:val="both"/>
        <w:rPr>
          <w:rFonts w:ascii="Arial" w:eastAsia="Arial" w:hAnsi="Arial" w:cs="Arial"/>
          <w:sz w:val="24"/>
          <w:szCs w:val="24"/>
        </w:rPr>
      </w:pPr>
      <w:r>
        <w:rPr>
          <w:rFonts w:ascii="Arial" w:eastAsia="Arial" w:hAnsi="Arial" w:cs="Arial"/>
          <w:sz w:val="24"/>
          <w:szCs w:val="24"/>
        </w:rPr>
        <w:t xml:space="preserve">The Supplier will calculate the Charges as per paragraph 1.6.1 above from the point the order is placed and any invoice the Supplier submits to </w:t>
      </w:r>
      <w:r>
        <w:rPr>
          <w:rFonts w:ascii="Arial" w:eastAsia="Arial" w:hAnsi="Arial" w:cs="Arial"/>
          <w:sz w:val="24"/>
          <w:szCs w:val="24"/>
        </w:rPr>
        <w:t>the Buyer shall accurately reflect this calculation.</w:t>
      </w:r>
    </w:p>
    <w:p w:rsidR="00FE5F7D" w:rsidRDefault="000A7B70">
      <w:pPr>
        <w:widowControl w:val="0"/>
        <w:spacing w:after="0" w:line="240" w:lineRule="auto"/>
        <w:ind w:left="2160"/>
        <w:jc w:val="both"/>
        <w:rPr>
          <w:rFonts w:ascii="Arial" w:eastAsia="Arial" w:hAnsi="Arial" w:cs="Arial"/>
          <w:sz w:val="24"/>
          <w:szCs w:val="24"/>
        </w:rPr>
      </w:pPr>
      <w:r>
        <w:rPr>
          <w:rFonts w:ascii="Arial" w:eastAsia="Arial" w:hAnsi="Arial" w:cs="Arial"/>
          <w:sz w:val="24"/>
          <w:szCs w:val="24"/>
        </w:rPr>
        <w:t xml:space="preserve"> </w:t>
      </w:r>
    </w:p>
    <w:p w:rsidR="00FE5F7D" w:rsidRDefault="000A7B70">
      <w:pPr>
        <w:widowControl w:val="0"/>
        <w:numPr>
          <w:ilvl w:val="1"/>
          <w:numId w:val="5"/>
        </w:numPr>
        <w:spacing w:after="0" w:line="240" w:lineRule="auto"/>
        <w:jc w:val="both"/>
        <w:rPr>
          <w:rFonts w:ascii="Arial" w:eastAsia="Arial" w:hAnsi="Arial" w:cs="Arial"/>
          <w:sz w:val="24"/>
          <w:szCs w:val="24"/>
        </w:rPr>
      </w:pPr>
      <w:r>
        <w:rPr>
          <w:rFonts w:ascii="Arial" w:eastAsia="Arial" w:hAnsi="Arial" w:cs="Arial"/>
          <w:sz w:val="24"/>
          <w:szCs w:val="24"/>
        </w:rPr>
        <w:t>The following is a worked example for illustrative purposes only:</w:t>
      </w:r>
    </w:p>
    <w:p w:rsidR="00FE5F7D" w:rsidRDefault="000A7B70">
      <w:pPr>
        <w:widowControl w:val="0"/>
        <w:spacing w:after="0" w:line="240" w:lineRule="auto"/>
        <w:ind w:left="2160"/>
        <w:jc w:val="both"/>
        <w:rPr>
          <w:rFonts w:ascii="Arial" w:eastAsia="Arial" w:hAnsi="Arial" w:cs="Arial"/>
          <w:sz w:val="24"/>
          <w:szCs w:val="24"/>
        </w:rPr>
      </w:pPr>
      <w:r>
        <w:rPr>
          <w:rFonts w:ascii="Arial" w:eastAsia="Arial" w:hAnsi="Arial" w:cs="Arial"/>
          <w:sz w:val="24"/>
          <w:szCs w:val="24"/>
        </w:rPr>
        <w:t xml:space="preserve"> </w:t>
      </w:r>
    </w:p>
    <w:p w:rsidR="00FE5F7D" w:rsidRDefault="000A7B70">
      <w:pPr>
        <w:widowControl w:val="0"/>
        <w:numPr>
          <w:ilvl w:val="2"/>
          <w:numId w:val="5"/>
        </w:numPr>
        <w:spacing w:after="0" w:line="240" w:lineRule="auto"/>
        <w:jc w:val="both"/>
        <w:rPr>
          <w:rFonts w:ascii="Arial" w:eastAsia="Arial" w:hAnsi="Arial" w:cs="Arial"/>
          <w:sz w:val="24"/>
          <w:szCs w:val="24"/>
        </w:rPr>
      </w:pPr>
      <w:r>
        <w:rPr>
          <w:rFonts w:ascii="Arial" w:eastAsia="Arial" w:hAnsi="Arial" w:cs="Arial"/>
          <w:sz w:val="24"/>
          <w:szCs w:val="24"/>
        </w:rPr>
        <w:t>If the Buyer orders £1,000,000 in value of Grocery Vouchers at the Call off Contract Commencement Date and the corresponding price is</w:t>
      </w:r>
      <w:r>
        <w:rPr>
          <w:rFonts w:ascii="Arial" w:eastAsia="Arial" w:hAnsi="Arial" w:cs="Arial"/>
          <w:sz w:val="24"/>
          <w:szCs w:val="24"/>
        </w:rPr>
        <w:t xml:space="preserve"> 1% of the Voucher Value, then the Buyer will be Charged £10,000</w:t>
      </w:r>
    </w:p>
    <w:p w:rsidR="00FE5F7D" w:rsidRDefault="000A7B70">
      <w:pPr>
        <w:widowControl w:val="0"/>
        <w:spacing w:after="0" w:line="240" w:lineRule="auto"/>
        <w:ind w:left="2160"/>
        <w:jc w:val="both"/>
        <w:rPr>
          <w:rFonts w:ascii="Arial" w:eastAsia="Arial" w:hAnsi="Arial" w:cs="Arial"/>
          <w:sz w:val="24"/>
          <w:szCs w:val="24"/>
        </w:rPr>
      </w:pPr>
      <w:r>
        <w:rPr>
          <w:rFonts w:ascii="Arial" w:eastAsia="Arial" w:hAnsi="Arial" w:cs="Arial"/>
          <w:sz w:val="24"/>
          <w:szCs w:val="24"/>
        </w:rPr>
        <w:t xml:space="preserve"> </w:t>
      </w:r>
    </w:p>
    <w:p w:rsidR="00FE5F7D" w:rsidRDefault="000A7B70">
      <w:pPr>
        <w:widowControl w:val="0"/>
        <w:numPr>
          <w:ilvl w:val="2"/>
          <w:numId w:val="5"/>
        </w:numPr>
        <w:spacing w:after="0" w:line="240" w:lineRule="auto"/>
        <w:jc w:val="both"/>
        <w:rPr>
          <w:rFonts w:ascii="Arial" w:eastAsia="Arial" w:hAnsi="Arial" w:cs="Arial"/>
          <w:sz w:val="24"/>
          <w:szCs w:val="24"/>
        </w:rPr>
      </w:pPr>
      <w:r>
        <w:rPr>
          <w:rFonts w:ascii="Arial" w:eastAsia="Arial" w:hAnsi="Arial" w:cs="Arial"/>
          <w:sz w:val="24"/>
          <w:szCs w:val="24"/>
        </w:rPr>
        <w:lastRenderedPageBreak/>
        <w:t>If the Buyer places a subsequent order for £1,000,000 in value of Grocery Vouchers six months after the Call-Off Commencement Date and the price for £2,000,000 in value of Vouchers is 0.8%,</w:t>
      </w:r>
      <w:r>
        <w:rPr>
          <w:rFonts w:ascii="Arial" w:eastAsia="Arial" w:hAnsi="Arial" w:cs="Arial"/>
          <w:sz w:val="24"/>
          <w:szCs w:val="24"/>
        </w:rPr>
        <w:t xml:space="preserve"> the Buyer would then be Charged 0.8% or £8,000 for the 2nd Order This is because both of the Orders were within twelve months of the Call-Off Commencement date. </w:t>
      </w:r>
    </w:p>
    <w:p w:rsidR="00FE5F7D" w:rsidRDefault="000A7B70">
      <w:pPr>
        <w:widowControl w:val="0"/>
        <w:spacing w:after="0" w:line="240" w:lineRule="auto"/>
        <w:ind w:left="2160"/>
        <w:jc w:val="both"/>
        <w:rPr>
          <w:rFonts w:ascii="Arial" w:eastAsia="Arial" w:hAnsi="Arial" w:cs="Arial"/>
          <w:sz w:val="24"/>
          <w:szCs w:val="24"/>
        </w:rPr>
      </w:pPr>
      <w:r>
        <w:rPr>
          <w:rFonts w:ascii="Arial" w:eastAsia="Arial" w:hAnsi="Arial" w:cs="Arial"/>
          <w:sz w:val="24"/>
          <w:szCs w:val="24"/>
        </w:rPr>
        <w:t xml:space="preserve"> </w:t>
      </w:r>
    </w:p>
    <w:p w:rsidR="00FE5F7D" w:rsidRDefault="000A7B70">
      <w:pPr>
        <w:widowControl w:val="0"/>
        <w:numPr>
          <w:ilvl w:val="2"/>
          <w:numId w:val="5"/>
        </w:numPr>
        <w:spacing w:after="0" w:line="240" w:lineRule="auto"/>
        <w:jc w:val="both"/>
        <w:rPr>
          <w:rFonts w:ascii="Arial" w:eastAsia="Arial" w:hAnsi="Arial" w:cs="Arial"/>
          <w:sz w:val="24"/>
          <w:szCs w:val="24"/>
        </w:rPr>
      </w:pPr>
      <w:r>
        <w:rPr>
          <w:rFonts w:ascii="Arial" w:eastAsia="Arial" w:hAnsi="Arial" w:cs="Arial"/>
          <w:sz w:val="24"/>
          <w:szCs w:val="24"/>
        </w:rPr>
        <w:t>If the Buyer places a third Order for £24,000,000 in value of Vouchers thirteen months afte</w:t>
      </w:r>
      <w:r>
        <w:rPr>
          <w:rFonts w:ascii="Arial" w:eastAsia="Arial" w:hAnsi="Arial" w:cs="Arial"/>
          <w:sz w:val="24"/>
          <w:szCs w:val="24"/>
        </w:rPr>
        <w:t>r the Call-Off Commencement Date, the price for this order would be based on the Table 1 price for £24,000,000 in value of Vouchers, which in this example is 0.5%. This is because the third Order occurred in a different twelve-month</w:t>
      </w:r>
    </w:p>
    <w:p w:rsidR="00FE5F7D" w:rsidRDefault="000A7B70">
      <w:pPr>
        <w:widowControl w:val="0"/>
        <w:numPr>
          <w:ilvl w:val="2"/>
          <w:numId w:val="5"/>
        </w:numPr>
        <w:spacing w:after="0" w:line="240" w:lineRule="auto"/>
        <w:jc w:val="both"/>
        <w:rPr>
          <w:rFonts w:ascii="Arial" w:eastAsia="Arial" w:hAnsi="Arial" w:cs="Arial"/>
          <w:sz w:val="24"/>
          <w:szCs w:val="24"/>
        </w:rPr>
      </w:pPr>
      <w:r>
        <w:rPr>
          <w:rFonts w:ascii="Arial" w:eastAsia="Arial" w:hAnsi="Arial" w:cs="Arial"/>
          <w:sz w:val="24"/>
          <w:szCs w:val="24"/>
        </w:rPr>
        <w:t xml:space="preserve"> period. In these circu</w:t>
      </w:r>
      <w:r>
        <w:rPr>
          <w:rFonts w:ascii="Arial" w:eastAsia="Arial" w:hAnsi="Arial" w:cs="Arial"/>
          <w:sz w:val="24"/>
          <w:szCs w:val="24"/>
        </w:rPr>
        <w:t>mstances the Charges would be calculated as follows:</w:t>
      </w:r>
    </w:p>
    <w:p w:rsidR="00FE5F7D" w:rsidRDefault="00FE5F7D">
      <w:pPr>
        <w:widowControl w:val="0"/>
        <w:spacing w:after="0" w:line="240" w:lineRule="auto"/>
        <w:ind w:left="2160"/>
        <w:jc w:val="both"/>
        <w:rPr>
          <w:rFonts w:ascii="Arial" w:eastAsia="Arial" w:hAnsi="Arial" w:cs="Arial"/>
          <w:sz w:val="24"/>
          <w:szCs w:val="24"/>
        </w:rPr>
      </w:pPr>
    </w:p>
    <w:p w:rsidR="00FE5F7D" w:rsidRDefault="000A7B70">
      <w:pPr>
        <w:widowControl w:val="0"/>
        <w:numPr>
          <w:ilvl w:val="0"/>
          <w:numId w:val="2"/>
        </w:numPr>
        <w:spacing w:after="0" w:line="240" w:lineRule="auto"/>
        <w:jc w:val="both"/>
        <w:rPr>
          <w:rFonts w:ascii="Arial" w:eastAsia="Arial" w:hAnsi="Arial" w:cs="Arial"/>
          <w:sz w:val="24"/>
          <w:szCs w:val="24"/>
        </w:rPr>
      </w:pPr>
      <w:r>
        <w:rPr>
          <w:rFonts w:ascii="Arial" w:eastAsia="Arial" w:hAnsi="Arial" w:cs="Arial"/>
          <w:sz w:val="24"/>
          <w:szCs w:val="24"/>
        </w:rPr>
        <w:t>Order 1 - £1,000,000 in value of Grocery Vouchers = £10,000</w:t>
      </w:r>
    </w:p>
    <w:p w:rsidR="00FE5F7D" w:rsidRDefault="000A7B70">
      <w:pPr>
        <w:widowControl w:val="0"/>
        <w:numPr>
          <w:ilvl w:val="0"/>
          <w:numId w:val="2"/>
        </w:numPr>
        <w:spacing w:after="0" w:line="240" w:lineRule="auto"/>
        <w:jc w:val="both"/>
        <w:rPr>
          <w:rFonts w:ascii="Arial" w:eastAsia="Arial" w:hAnsi="Arial" w:cs="Arial"/>
          <w:sz w:val="24"/>
          <w:szCs w:val="24"/>
        </w:rPr>
      </w:pPr>
      <w:r>
        <w:rPr>
          <w:rFonts w:ascii="Arial" w:eastAsia="Arial" w:hAnsi="Arial" w:cs="Arial"/>
          <w:sz w:val="24"/>
          <w:szCs w:val="24"/>
        </w:rPr>
        <w:t>Order 2 -£1,000,000 in value of Grocery Vouchers = £8,000</w:t>
      </w:r>
    </w:p>
    <w:p w:rsidR="00FE5F7D" w:rsidRDefault="000A7B70">
      <w:pPr>
        <w:widowControl w:val="0"/>
        <w:numPr>
          <w:ilvl w:val="0"/>
          <w:numId w:val="2"/>
        </w:numPr>
        <w:spacing w:line="240" w:lineRule="auto"/>
        <w:jc w:val="both"/>
        <w:rPr>
          <w:rFonts w:ascii="Arial" w:eastAsia="Arial" w:hAnsi="Arial" w:cs="Arial"/>
          <w:sz w:val="24"/>
          <w:szCs w:val="24"/>
        </w:rPr>
      </w:pPr>
      <w:r>
        <w:rPr>
          <w:rFonts w:ascii="Arial" w:eastAsia="Arial" w:hAnsi="Arial" w:cs="Arial"/>
          <w:sz w:val="24"/>
          <w:szCs w:val="24"/>
        </w:rPr>
        <w:t>Order 3 - £24,000,000 in value of  Grocery Vouchers = £12,000</w:t>
      </w:r>
    </w:p>
    <w:p w:rsidR="00FE5F7D" w:rsidRDefault="00FE5F7D">
      <w:pPr>
        <w:jc w:val="both"/>
        <w:rPr>
          <w:rFonts w:ascii="Arial" w:eastAsia="Arial" w:hAnsi="Arial" w:cs="Arial"/>
          <w:b/>
          <w:sz w:val="24"/>
          <w:szCs w:val="24"/>
        </w:rPr>
      </w:pPr>
    </w:p>
    <w:p w:rsidR="00FE5F7D" w:rsidRDefault="000A7B70">
      <w:pPr>
        <w:jc w:val="both"/>
        <w:rPr>
          <w:rFonts w:ascii="Arial" w:eastAsia="Arial" w:hAnsi="Arial" w:cs="Arial"/>
          <w:b/>
          <w:sz w:val="24"/>
          <w:szCs w:val="24"/>
        </w:rPr>
      </w:pPr>
      <w:r>
        <w:rPr>
          <w:rFonts w:ascii="Arial" w:eastAsia="Arial" w:hAnsi="Arial" w:cs="Arial"/>
          <w:b/>
          <w:sz w:val="24"/>
          <w:szCs w:val="24"/>
        </w:rPr>
        <w:t>Lot 3 table 1</w:t>
      </w:r>
    </w:p>
    <w:tbl>
      <w:tblPr>
        <w:tblStyle w:val="a3"/>
        <w:tblW w:w="13590" w:type="dxa"/>
        <w:tblBorders>
          <w:top w:val="nil"/>
          <w:left w:val="nil"/>
          <w:bottom w:val="nil"/>
          <w:right w:val="nil"/>
          <w:insideH w:val="nil"/>
          <w:insideV w:val="nil"/>
        </w:tblBorders>
        <w:tblLayout w:type="fixed"/>
        <w:tblLook w:val="0600" w:firstRow="0" w:lastRow="0" w:firstColumn="0" w:lastColumn="0" w:noHBand="1" w:noVBand="1"/>
      </w:tblPr>
      <w:tblGrid>
        <w:gridCol w:w="3330"/>
        <w:gridCol w:w="1605"/>
        <w:gridCol w:w="1605"/>
        <w:gridCol w:w="1935"/>
        <w:gridCol w:w="1635"/>
        <w:gridCol w:w="1860"/>
        <w:gridCol w:w="1620"/>
      </w:tblGrid>
      <w:tr w:rsidR="00FE5F7D">
        <w:trPr>
          <w:trHeight w:val="345"/>
        </w:trPr>
        <w:tc>
          <w:tcPr>
            <w:tcW w:w="3330" w:type="dxa"/>
            <w:vMerge w:val="restart"/>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widowControl w:val="0"/>
              <w:spacing w:after="0"/>
              <w:jc w:val="both"/>
              <w:rPr>
                <w:rFonts w:ascii="Arial" w:eastAsia="Arial" w:hAnsi="Arial" w:cs="Arial"/>
                <w:b/>
                <w:sz w:val="24"/>
                <w:szCs w:val="24"/>
              </w:rPr>
            </w:pPr>
            <w:r>
              <w:rPr>
                <w:rFonts w:ascii="Arial" w:eastAsia="Arial" w:hAnsi="Arial" w:cs="Arial"/>
                <w:b/>
                <w:sz w:val="24"/>
                <w:szCs w:val="24"/>
              </w:rPr>
              <w:t>Closed Loop - Grocery merchants</w:t>
            </w:r>
          </w:p>
        </w:tc>
        <w:tc>
          <w:tcPr>
            <w:tcW w:w="10260" w:type="dxa"/>
            <w:gridSpan w:val="6"/>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widowControl w:val="0"/>
              <w:spacing w:after="0"/>
              <w:jc w:val="both"/>
              <w:rPr>
                <w:rFonts w:ascii="Arial" w:eastAsia="Arial" w:hAnsi="Arial" w:cs="Arial"/>
                <w:sz w:val="20"/>
                <w:szCs w:val="20"/>
              </w:rPr>
            </w:pPr>
            <w:r>
              <w:rPr>
                <w:rFonts w:ascii="Arial" w:eastAsia="Arial" w:hAnsi="Arial" w:cs="Arial"/>
                <w:b/>
                <w:sz w:val="24"/>
                <w:szCs w:val="24"/>
              </w:rPr>
              <w:t>Total Buyer’s Voucher Order Value range</w:t>
            </w:r>
          </w:p>
        </w:tc>
      </w:tr>
      <w:tr w:rsidR="00FE5F7D">
        <w:trPr>
          <w:trHeight w:val="345"/>
        </w:trPr>
        <w:tc>
          <w:tcPr>
            <w:tcW w:w="3330" w:type="dxa"/>
            <w:vMerge/>
            <w:tcBorders>
              <w:left w:val="single" w:sz="8" w:space="0" w:color="000000"/>
              <w:bottom w:val="single" w:sz="6" w:space="0" w:color="000000"/>
              <w:right w:val="single" w:sz="6" w:space="0" w:color="000000"/>
            </w:tcBorders>
            <w:shd w:val="clear" w:color="auto" w:fill="auto"/>
            <w:tcMar>
              <w:top w:w="100" w:type="dxa"/>
              <w:left w:w="100" w:type="dxa"/>
              <w:bottom w:w="100" w:type="dxa"/>
              <w:right w:w="100" w:type="dxa"/>
            </w:tcMar>
          </w:tcPr>
          <w:p w:rsidR="00FE5F7D" w:rsidRDefault="00FE5F7D">
            <w:pPr>
              <w:widowControl w:val="0"/>
              <w:spacing w:after="0"/>
              <w:jc w:val="both"/>
              <w:rPr>
                <w:rFonts w:ascii="Arial" w:eastAsia="Arial" w:hAnsi="Arial" w:cs="Arial"/>
                <w:sz w:val="20"/>
                <w:szCs w:val="20"/>
              </w:rPr>
            </w:pPr>
          </w:p>
        </w:tc>
        <w:tc>
          <w:tcPr>
            <w:tcW w:w="1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widowControl w:val="0"/>
              <w:spacing w:after="0"/>
              <w:jc w:val="both"/>
              <w:rPr>
                <w:rFonts w:ascii="Arial" w:eastAsia="Arial" w:hAnsi="Arial" w:cs="Arial"/>
                <w:sz w:val="20"/>
                <w:szCs w:val="20"/>
              </w:rPr>
            </w:pPr>
            <w:r>
              <w:rPr>
                <w:rFonts w:ascii="Arial" w:eastAsia="Arial" w:hAnsi="Arial" w:cs="Arial"/>
                <w:b/>
                <w:sz w:val="24"/>
                <w:szCs w:val="24"/>
              </w:rPr>
              <w:t>1</w:t>
            </w:r>
          </w:p>
        </w:tc>
        <w:tc>
          <w:tcPr>
            <w:tcW w:w="1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widowControl w:val="0"/>
              <w:spacing w:after="0"/>
              <w:jc w:val="both"/>
              <w:rPr>
                <w:rFonts w:ascii="Arial" w:eastAsia="Arial" w:hAnsi="Arial" w:cs="Arial"/>
                <w:sz w:val="20"/>
                <w:szCs w:val="20"/>
              </w:rPr>
            </w:pPr>
            <w:r>
              <w:rPr>
                <w:rFonts w:ascii="Arial" w:eastAsia="Arial" w:hAnsi="Arial" w:cs="Arial"/>
                <w:b/>
                <w:sz w:val="24"/>
                <w:szCs w:val="24"/>
              </w:rPr>
              <w:t>2</w:t>
            </w:r>
          </w:p>
        </w:tc>
        <w:tc>
          <w:tcPr>
            <w:tcW w:w="19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widowControl w:val="0"/>
              <w:spacing w:after="0"/>
              <w:jc w:val="both"/>
              <w:rPr>
                <w:rFonts w:ascii="Arial" w:eastAsia="Arial" w:hAnsi="Arial" w:cs="Arial"/>
                <w:sz w:val="20"/>
                <w:szCs w:val="20"/>
              </w:rPr>
            </w:pPr>
            <w:r>
              <w:rPr>
                <w:rFonts w:ascii="Arial" w:eastAsia="Arial" w:hAnsi="Arial" w:cs="Arial"/>
                <w:b/>
                <w:sz w:val="24"/>
                <w:szCs w:val="24"/>
              </w:rPr>
              <w:t>3</w:t>
            </w:r>
          </w:p>
        </w:tc>
        <w:tc>
          <w:tcPr>
            <w:tcW w:w="16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widowControl w:val="0"/>
              <w:spacing w:after="0"/>
              <w:jc w:val="both"/>
              <w:rPr>
                <w:rFonts w:ascii="Arial" w:eastAsia="Arial" w:hAnsi="Arial" w:cs="Arial"/>
                <w:sz w:val="20"/>
                <w:szCs w:val="20"/>
              </w:rPr>
            </w:pPr>
            <w:r>
              <w:rPr>
                <w:rFonts w:ascii="Arial" w:eastAsia="Arial" w:hAnsi="Arial" w:cs="Arial"/>
                <w:b/>
                <w:sz w:val="24"/>
                <w:szCs w:val="24"/>
              </w:rPr>
              <w:t>4</w:t>
            </w:r>
          </w:p>
        </w:tc>
        <w:tc>
          <w:tcPr>
            <w:tcW w:w="186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widowControl w:val="0"/>
              <w:spacing w:after="0"/>
              <w:jc w:val="both"/>
              <w:rPr>
                <w:rFonts w:ascii="Arial" w:eastAsia="Arial" w:hAnsi="Arial" w:cs="Arial"/>
                <w:sz w:val="20"/>
                <w:szCs w:val="20"/>
              </w:rPr>
            </w:pPr>
            <w:r>
              <w:rPr>
                <w:rFonts w:ascii="Arial" w:eastAsia="Arial" w:hAnsi="Arial" w:cs="Arial"/>
                <w:b/>
                <w:sz w:val="24"/>
                <w:szCs w:val="24"/>
              </w:rPr>
              <w:t>5</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widowControl w:val="0"/>
              <w:spacing w:after="0"/>
              <w:jc w:val="both"/>
              <w:rPr>
                <w:rFonts w:ascii="Arial" w:eastAsia="Arial" w:hAnsi="Arial" w:cs="Arial"/>
                <w:sz w:val="20"/>
                <w:szCs w:val="20"/>
              </w:rPr>
            </w:pPr>
            <w:r>
              <w:rPr>
                <w:rFonts w:ascii="Arial" w:eastAsia="Arial" w:hAnsi="Arial" w:cs="Arial"/>
                <w:b/>
                <w:sz w:val="24"/>
                <w:szCs w:val="24"/>
              </w:rPr>
              <w:t>6</w:t>
            </w:r>
          </w:p>
        </w:tc>
      </w:tr>
      <w:tr w:rsidR="00FE5F7D">
        <w:trPr>
          <w:trHeight w:val="645"/>
        </w:trPr>
        <w:tc>
          <w:tcPr>
            <w:tcW w:w="3330" w:type="dxa"/>
            <w:vMerge/>
            <w:tcBorders>
              <w:left w:val="single" w:sz="8" w:space="0" w:color="000000"/>
              <w:bottom w:val="single" w:sz="6" w:space="0" w:color="000000"/>
              <w:right w:val="single" w:sz="6" w:space="0" w:color="000000"/>
            </w:tcBorders>
            <w:shd w:val="clear" w:color="auto" w:fill="auto"/>
            <w:tcMar>
              <w:top w:w="100" w:type="dxa"/>
              <w:left w:w="100" w:type="dxa"/>
              <w:bottom w:w="100" w:type="dxa"/>
              <w:right w:w="100" w:type="dxa"/>
            </w:tcMar>
          </w:tcPr>
          <w:p w:rsidR="00FE5F7D" w:rsidRDefault="00FE5F7D">
            <w:pPr>
              <w:widowControl w:val="0"/>
              <w:spacing w:after="0"/>
              <w:jc w:val="both"/>
              <w:rPr>
                <w:rFonts w:ascii="Arial" w:eastAsia="Arial" w:hAnsi="Arial" w:cs="Arial"/>
                <w:sz w:val="20"/>
                <w:szCs w:val="20"/>
              </w:rPr>
            </w:pPr>
          </w:p>
        </w:tc>
        <w:tc>
          <w:tcPr>
            <w:tcW w:w="1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widowControl w:val="0"/>
              <w:spacing w:after="0"/>
              <w:jc w:val="both"/>
              <w:rPr>
                <w:rFonts w:ascii="Arial" w:eastAsia="Arial" w:hAnsi="Arial" w:cs="Arial"/>
                <w:sz w:val="20"/>
                <w:szCs w:val="20"/>
              </w:rPr>
            </w:pPr>
            <w:r>
              <w:rPr>
                <w:b/>
                <w:sz w:val="24"/>
                <w:szCs w:val="24"/>
              </w:rPr>
              <w:t>Up to £999,999</w:t>
            </w:r>
          </w:p>
        </w:tc>
        <w:tc>
          <w:tcPr>
            <w:tcW w:w="1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widowControl w:val="0"/>
              <w:spacing w:after="0"/>
              <w:jc w:val="both"/>
              <w:rPr>
                <w:rFonts w:ascii="Arial" w:eastAsia="Arial" w:hAnsi="Arial" w:cs="Arial"/>
                <w:sz w:val="20"/>
                <w:szCs w:val="20"/>
              </w:rPr>
            </w:pPr>
            <w:r>
              <w:rPr>
                <w:b/>
                <w:sz w:val="24"/>
                <w:szCs w:val="24"/>
              </w:rPr>
              <w:t>£1,000,000 - £9,999,999</w:t>
            </w:r>
          </w:p>
        </w:tc>
        <w:tc>
          <w:tcPr>
            <w:tcW w:w="19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widowControl w:val="0"/>
              <w:spacing w:after="0"/>
              <w:jc w:val="both"/>
              <w:rPr>
                <w:rFonts w:ascii="Arial" w:eastAsia="Arial" w:hAnsi="Arial" w:cs="Arial"/>
                <w:sz w:val="20"/>
                <w:szCs w:val="20"/>
              </w:rPr>
            </w:pPr>
            <w:r>
              <w:rPr>
                <w:b/>
                <w:sz w:val="24"/>
                <w:szCs w:val="24"/>
              </w:rPr>
              <w:t>£10,000,000 - £24,999,999</w:t>
            </w:r>
          </w:p>
        </w:tc>
        <w:tc>
          <w:tcPr>
            <w:tcW w:w="16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widowControl w:val="0"/>
              <w:spacing w:after="0"/>
              <w:jc w:val="both"/>
              <w:rPr>
                <w:rFonts w:ascii="Arial" w:eastAsia="Arial" w:hAnsi="Arial" w:cs="Arial"/>
                <w:sz w:val="20"/>
                <w:szCs w:val="20"/>
              </w:rPr>
            </w:pPr>
            <w:r>
              <w:rPr>
                <w:b/>
                <w:sz w:val="24"/>
                <w:szCs w:val="24"/>
              </w:rPr>
              <w:t>£25,000,000 - £74,999,999</w:t>
            </w:r>
          </w:p>
        </w:tc>
        <w:tc>
          <w:tcPr>
            <w:tcW w:w="186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widowControl w:val="0"/>
              <w:spacing w:after="0"/>
              <w:jc w:val="both"/>
              <w:rPr>
                <w:rFonts w:ascii="Arial" w:eastAsia="Arial" w:hAnsi="Arial" w:cs="Arial"/>
                <w:sz w:val="20"/>
                <w:szCs w:val="20"/>
              </w:rPr>
            </w:pPr>
            <w:r>
              <w:rPr>
                <w:b/>
                <w:sz w:val="24"/>
                <w:szCs w:val="24"/>
              </w:rPr>
              <w:t>£75,000,000 - £149,999,999</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widowControl w:val="0"/>
              <w:spacing w:after="0"/>
              <w:jc w:val="both"/>
              <w:rPr>
                <w:rFonts w:ascii="Arial" w:eastAsia="Arial" w:hAnsi="Arial" w:cs="Arial"/>
                <w:sz w:val="20"/>
                <w:szCs w:val="20"/>
              </w:rPr>
            </w:pPr>
            <w:r>
              <w:rPr>
                <w:b/>
                <w:sz w:val="24"/>
                <w:szCs w:val="24"/>
              </w:rPr>
              <w:t>£150,000,000 +</w:t>
            </w:r>
          </w:p>
        </w:tc>
      </w:tr>
      <w:tr w:rsidR="00FE5F7D">
        <w:trPr>
          <w:trHeight w:val="1155"/>
        </w:trPr>
        <w:tc>
          <w:tcPr>
            <w:tcW w:w="333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widowControl w:val="0"/>
              <w:spacing w:after="0"/>
              <w:jc w:val="both"/>
              <w:rPr>
                <w:rFonts w:ascii="Arial" w:eastAsia="Arial" w:hAnsi="Arial" w:cs="Arial"/>
                <w:sz w:val="24"/>
                <w:szCs w:val="24"/>
              </w:rPr>
            </w:pPr>
            <w:r>
              <w:rPr>
                <w:rFonts w:ascii="Arial" w:eastAsia="Arial" w:hAnsi="Arial" w:cs="Arial"/>
                <w:sz w:val="24"/>
                <w:szCs w:val="24"/>
              </w:rPr>
              <w:t>Maximum percentage of Total Voucher Value that is Chargeable for the entire Order (%)</w:t>
            </w:r>
          </w:p>
        </w:tc>
        <w:tc>
          <w:tcPr>
            <w:tcW w:w="1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widowControl w:val="0"/>
              <w:spacing w:after="0"/>
              <w:jc w:val="both"/>
              <w:rPr>
                <w:rFonts w:ascii="Arial" w:eastAsia="Arial" w:hAnsi="Arial" w:cs="Arial"/>
                <w:sz w:val="20"/>
                <w:szCs w:val="20"/>
              </w:rPr>
            </w:pPr>
          </w:p>
        </w:tc>
        <w:tc>
          <w:tcPr>
            <w:tcW w:w="1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widowControl w:val="0"/>
              <w:spacing w:after="0"/>
              <w:jc w:val="both"/>
              <w:rPr>
                <w:rFonts w:ascii="Arial" w:eastAsia="Arial" w:hAnsi="Arial" w:cs="Arial"/>
                <w:sz w:val="20"/>
                <w:szCs w:val="20"/>
              </w:rPr>
            </w:pPr>
          </w:p>
        </w:tc>
        <w:tc>
          <w:tcPr>
            <w:tcW w:w="19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widowControl w:val="0"/>
              <w:spacing w:after="0"/>
              <w:jc w:val="both"/>
              <w:rPr>
                <w:rFonts w:ascii="Arial" w:eastAsia="Arial" w:hAnsi="Arial" w:cs="Arial"/>
                <w:sz w:val="20"/>
                <w:szCs w:val="20"/>
              </w:rPr>
            </w:pPr>
          </w:p>
        </w:tc>
        <w:tc>
          <w:tcPr>
            <w:tcW w:w="16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widowControl w:val="0"/>
              <w:spacing w:after="0"/>
              <w:jc w:val="both"/>
              <w:rPr>
                <w:rFonts w:ascii="Arial" w:eastAsia="Arial" w:hAnsi="Arial" w:cs="Arial"/>
                <w:sz w:val="20"/>
                <w:szCs w:val="20"/>
              </w:rPr>
            </w:pPr>
          </w:p>
        </w:tc>
        <w:tc>
          <w:tcPr>
            <w:tcW w:w="186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widowControl w:val="0"/>
              <w:spacing w:after="0"/>
              <w:jc w:val="both"/>
              <w:rPr>
                <w:rFonts w:ascii="Arial" w:eastAsia="Arial" w:hAnsi="Arial" w:cs="Arial"/>
                <w:sz w:val="20"/>
                <w:szCs w:val="20"/>
              </w:rPr>
            </w:pP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widowControl w:val="0"/>
              <w:spacing w:after="0"/>
              <w:jc w:val="both"/>
              <w:rPr>
                <w:rFonts w:ascii="Arial" w:eastAsia="Arial" w:hAnsi="Arial" w:cs="Arial"/>
                <w:sz w:val="20"/>
                <w:szCs w:val="20"/>
              </w:rPr>
            </w:pPr>
          </w:p>
        </w:tc>
      </w:tr>
      <w:tr w:rsidR="00FE5F7D">
        <w:trPr>
          <w:trHeight w:val="645"/>
        </w:trPr>
        <w:tc>
          <w:tcPr>
            <w:tcW w:w="3330"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widowControl w:val="0"/>
              <w:spacing w:after="0"/>
              <w:jc w:val="both"/>
              <w:rPr>
                <w:rFonts w:ascii="Arial" w:eastAsia="Arial" w:hAnsi="Arial" w:cs="Arial"/>
                <w:b/>
                <w:sz w:val="24"/>
                <w:szCs w:val="24"/>
              </w:rPr>
            </w:pPr>
            <w:r>
              <w:rPr>
                <w:rFonts w:ascii="Arial" w:eastAsia="Arial" w:hAnsi="Arial" w:cs="Arial"/>
                <w:b/>
                <w:sz w:val="24"/>
                <w:szCs w:val="24"/>
              </w:rPr>
              <w:lastRenderedPageBreak/>
              <w:t>Table 2 - Closed Loop - Non-Grocery merchants</w:t>
            </w:r>
          </w:p>
        </w:tc>
        <w:tc>
          <w:tcPr>
            <w:tcW w:w="1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widowControl w:val="0"/>
              <w:spacing w:after="0"/>
              <w:jc w:val="both"/>
              <w:rPr>
                <w:rFonts w:ascii="Arial" w:eastAsia="Arial" w:hAnsi="Arial" w:cs="Arial"/>
                <w:sz w:val="20"/>
                <w:szCs w:val="20"/>
              </w:rPr>
            </w:pPr>
            <w:r>
              <w:rPr>
                <w:b/>
                <w:sz w:val="24"/>
                <w:szCs w:val="24"/>
              </w:rPr>
              <w:t>Up to £999,999</w:t>
            </w:r>
          </w:p>
        </w:tc>
        <w:tc>
          <w:tcPr>
            <w:tcW w:w="1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widowControl w:val="0"/>
              <w:spacing w:after="0"/>
              <w:jc w:val="both"/>
              <w:rPr>
                <w:rFonts w:ascii="Arial" w:eastAsia="Arial" w:hAnsi="Arial" w:cs="Arial"/>
                <w:sz w:val="20"/>
                <w:szCs w:val="20"/>
              </w:rPr>
            </w:pPr>
            <w:r>
              <w:rPr>
                <w:b/>
                <w:sz w:val="24"/>
                <w:szCs w:val="24"/>
              </w:rPr>
              <w:t>£1,000,000 - £9,999,999</w:t>
            </w:r>
          </w:p>
        </w:tc>
        <w:tc>
          <w:tcPr>
            <w:tcW w:w="19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widowControl w:val="0"/>
              <w:spacing w:after="0"/>
              <w:jc w:val="both"/>
              <w:rPr>
                <w:rFonts w:ascii="Arial" w:eastAsia="Arial" w:hAnsi="Arial" w:cs="Arial"/>
                <w:sz w:val="20"/>
                <w:szCs w:val="20"/>
              </w:rPr>
            </w:pPr>
            <w:r>
              <w:rPr>
                <w:b/>
                <w:sz w:val="24"/>
                <w:szCs w:val="24"/>
              </w:rPr>
              <w:t>£10,000,000 - £24,999,999</w:t>
            </w:r>
          </w:p>
        </w:tc>
        <w:tc>
          <w:tcPr>
            <w:tcW w:w="16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widowControl w:val="0"/>
              <w:spacing w:after="0"/>
              <w:jc w:val="both"/>
              <w:rPr>
                <w:rFonts w:ascii="Arial" w:eastAsia="Arial" w:hAnsi="Arial" w:cs="Arial"/>
                <w:sz w:val="20"/>
                <w:szCs w:val="20"/>
              </w:rPr>
            </w:pPr>
            <w:r>
              <w:rPr>
                <w:b/>
                <w:sz w:val="24"/>
                <w:szCs w:val="24"/>
              </w:rPr>
              <w:t>£25,000,000 - £74,999,999</w:t>
            </w:r>
          </w:p>
        </w:tc>
        <w:tc>
          <w:tcPr>
            <w:tcW w:w="186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widowControl w:val="0"/>
              <w:spacing w:after="0"/>
              <w:jc w:val="both"/>
              <w:rPr>
                <w:rFonts w:ascii="Arial" w:eastAsia="Arial" w:hAnsi="Arial" w:cs="Arial"/>
                <w:sz w:val="20"/>
                <w:szCs w:val="20"/>
              </w:rPr>
            </w:pPr>
            <w:r>
              <w:rPr>
                <w:b/>
                <w:sz w:val="24"/>
                <w:szCs w:val="24"/>
              </w:rPr>
              <w:t>£75,000,000 - £149,999,999</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widowControl w:val="0"/>
              <w:spacing w:after="0"/>
              <w:jc w:val="both"/>
              <w:rPr>
                <w:rFonts w:ascii="Arial" w:eastAsia="Arial" w:hAnsi="Arial" w:cs="Arial"/>
                <w:sz w:val="20"/>
                <w:szCs w:val="20"/>
              </w:rPr>
            </w:pPr>
            <w:r>
              <w:rPr>
                <w:b/>
                <w:sz w:val="24"/>
                <w:szCs w:val="24"/>
              </w:rPr>
              <w:t>£150,000,000 +</w:t>
            </w:r>
          </w:p>
        </w:tc>
      </w:tr>
      <w:tr w:rsidR="00FE5F7D">
        <w:trPr>
          <w:trHeight w:val="1155"/>
        </w:trPr>
        <w:tc>
          <w:tcPr>
            <w:tcW w:w="333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0A7B70">
            <w:pPr>
              <w:widowControl w:val="0"/>
              <w:spacing w:after="0"/>
              <w:jc w:val="both"/>
              <w:rPr>
                <w:rFonts w:ascii="Arial" w:eastAsia="Arial" w:hAnsi="Arial" w:cs="Arial"/>
                <w:sz w:val="20"/>
                <w:szCs w:val="20"/>
              </w:rPr>
            </w:pPr>
            <w:r>
              <w:rPr>
                <w:rFonts w:ascii="Arial" w:eastAsia="Arial" w:hAnsi="Arial" w:cs="Arial"/>
                <w:sz w:val="24"/>
                <w:szCs w:val="24"/>
              </w:rPr>
              <w:t>Maximum percentage of Total Voucher Value that is Chargeable for the entire Order (%)</w:t>
            </w:r>
          </w:p>
        </w:tc>
        <w:tc>
          <w:tcPr>
            <w:tcW w:w="1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widowControl w:val="0"/>
              <w:spacing w:after="0"/>
              <w:jc w:val="both"/>
              <w:rPr>
                <w:rFonts w:ascii="Arial" w:eastAsia="Arial" w:hAnsi="Arial" w:cs="Arial"/>
                <w:sz w:val="20"/>
                <w:szCs w:val="20"/>
              </w:rPr>
            </w:pPr>
          </w:p>
        </w:tc>
        <w:tc>
          <w:tcPr>
            <w:tcW w:w="1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widowControl w:val="0"/>
              <w:spacing w:after="0"/>
              <w:jc w:val="both"/>
              <w:rPr>
                <w:rFonts w:ascii="Arial" w:eastAsia="Arial" w:hAnsi="Arial" w:cs="Arial"/>
                <w:sz w:val="20"/>
                <w:szCs w:val="20"/>
              </w:rPr>
            </w:pPr>
          </w:p>
        </w:tc>
        <w:tc>
          <w:tcPr>
            <w:tcW w:w="19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widowControl w:val="0"/>
              <w:spacing w:after="0"/>
              <w:jc w:val="both"/>
              <w:rPr>
                <w:rFonts w:ascii="Arial" w:eastAsia="Arial" w:hAnsi="Arial" w:cs="Arial"/>
                <w:sz w:val="20"/>
                <w:szCs w:val="20"/>
              </w:rPr>
            </w:pPr>
          </w:p>
        </w:tc>
        <w:tc>
          <w:tcPr>
            <w:tcW w:w="16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widowControl w:val="0"/>
              <w:spacing w:after="0"/>
              <w:jc w:val="both"/>
              <w:rPr>
                <w:rFonts w:ascii="Arial" w:eastAsia="Arial" w:hAnsi="Arial" w:cs="Arial"/>
                <w:sz w:val="20"/>
                <w:szCs w:val="20"/>
              </w:rPr>
            </w:pPr>
          </w:p>
        </w:tc>
        <w:tc>
          <w:tcPr>
            <w:tcW w:w="186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widowControl w:val="0"/>
              <w:spacing w:after="0"/>
              <w:jc w:val="both"/>
              <w:rPr>
                <w:rFonts w:ascii="Arial" w:eastAsia="Arial" w:hAnsi="Arial" w:cs="Arial"/>
                <w:sz w:val="20"/>
                <w:szCs w:val="20"/>
              </w:rPr>
            </w:pP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FE5F7D" w:rsidRDefault="00FE5F7D">
            <w:pPr>
              <w:widowControl w:val="0"/>
              <w:spacing w:after="0"/>
              <w:jc w:val="both"/>
              <w:rPr>
                <w:rFonts w:ascii="Arial" w:eastAsia="Arial" w:hAnsi="Arial" w:cs="Arial"/>
                <w:sz w:val="20"/>
                <w:szCs w:val="20"/>
              </w:rPr>
            </w:pPr>
          </w:p>
        </w:tc>
      </w:tr>
    </w:tbl>
    <w:p w:rsidR="00FE5F7D" w:rsidRDefault="00FE5F7D">
      <w:pPr>
        <w:jc w:val="both"/>
        <w:rPr>
          <w:rFonts w:ascii="Arial" w:eastAsia="Arial" w:hAnsi="Arial" w:cs="Arial"/>
          <w:b/>
          <w:sz w:val="24"/>
          <w:szCs w:val="24"/>
        </w:rPr>
      </w:pPr>
    </w:p>
    <w:sectPr w:rsidR="00FE5F7D">
      <w:pgSz w:w="16838" w:h="11906" w:orient="landscape"/>
      <w:pgMar w:top="1888"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7B70" w:rsidRDefault="000A7B70">
      <w:pPr>
        <w:spacing w:after="0" w:line="240" w:lineRule="auto"/>
      </w:pPr>
      <w:r>
        <w:separator/>
      </w:r>
    </w:p>
  </w:endnote>
  <w:endnote w:type="continuationSeparator" w:id="0">
    <w:p w:rsidR="000A7B70" w:rsidRDefault="000A7B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F7D" w:rsidRDefault="000A7B70">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RM6248 Payment Solutions 2                                      </w:t>
    </w:r>
  </w:p>
  <w:p w:rsidR="00FE5F7D" w:rsidRDefault="000A7B7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9614A2">
      <w:rPr>
        <w:rFonts w:ascii="Arial" w:eastAsia="Arial" w:hAnsi="Arial" w:cs="Arial"/>
        <w:color w:val="000000"/>
        <w:sz w:val="20"/>
        <w:szCs w:val="20"/>
      </w:rPr>
      <w:fldChar w:fldCharType="separate"/>
    </w:r>
    <w:r w:rsidR="009614A2">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FE5F7D" w:rsidRDefault="000A7B70">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F7D" w:rsidRDefault="000A7B70">
    <w:pPr>
      <w:tabs>
        <w:tab w:val="center" w:pos="4513"/>
        <w:tab w:val="right" w:pos="9026"/>
      </w:tabs>
      <w:spacing w:after="0"/>
    </w:pPr>
    <w:r>
      <w:t>Framework Ref: RM</w:t>
    </w:r>
    <w:r>
      <w:tab/>
      <w:t xml:space="preserve">                                           </w:t>
    </w:r>
  </w:p>
  <w:p w:rsidR="00FE5F7D" w:rsidRDefault="000A7B7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FE5F7D" w:rsidRDefault="000A7B70">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7B70" w:rsidRDefault="000A7B70">
      <w:pPr>
        <w:spacing w:after="0" w:line="240" w:lineRule="auto"/>
      </w:pPr>
      <w:r>
        <w:separator/>
      </w:r>
    </w:p>
  </w:footnote>
  <w:footnote w:type="continuationSeparator" w:id="0">
    <w:p w:rsidR="000A7B70" w:rsidRDefault="000A7B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F7D" w:rsidRDefault="000A7B7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FE5F7D" w:rsidRDefault="000A7B7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F7D" w:rsidRDefault="000A7B7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FE5F7D" w:rsidRDefault="000A7B70">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786317"/>
    <w:multiLevelType w:val="multilevel"/>
    <w:tmpl w:val="46C8E0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41D189C"/>
    <w:multiLevelType w:val="multilevel"/>
    <w:tmpl w:val="9CCEFC60"/>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3E3948B9"/>
    <w:multiLevelType w:val="multilevel"/>
    <w:tmpl w:val="46EE98DE"/>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 w15:restartNumberingAfterBreak="0">
    <w:nsid w:val="49F33CD1"/>
    <w:multiLevelType w:val="multilevel"/>
    <w:tmpl w:val="9F561DBE"/>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4" w15:restartNumberingAfterBreak="0">
    <w:nsid w:val="4FF663FB"/>
    <w:multiLevelType w:val="multilevel"/>
    <w:tmpl w:val="18980554"/>
    <w:lvl w:ilvl="0">
      <w:start w:val="1"/>
      <w:numFmt w:val="decimal"/>
      <w:lvlText w:val="%1."/>
      <w:lvlJc w:val="left"/>
      <w:pPr>
        <w:ind w:left="360" w:hanging="360"/>
      </w:pPr>
      <w:rPr>
        <w:rFonts w:ascii="Arial" w:hAnsi="Arial" w:cs="Arial" w:hint="default"/>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71650C8D"/>
    <w:multiLevelType w:val="multilevel"/>
    <w:tmpl w:val="6A9A32C0"/>
    <w:lvl w:ilvl="0">
      <w:start w:val="1"/>
      <w:numFmt w:val="bullet"/>
      <w:lvlText w:val="●"/>
      <w:lvlJc w:val="left"/>
      <w:pPr>
        <w:ind w:left="3600" w:hanging="360"/>
      </w:pPr>
      <w:rPr>
        <w:u w:val="none"/>
      </w:rPr>
    </w:lvl>
    <w:lvl w:ilvl="1">
      <w:start w:val="1"/>
      <w:numFmt w:val="bullet"/>
      <w:lvlText w:val="○"/>
      <w:lvlJc w:val="left"/>
      <w:pPr>
        <w:ind w:left="4320" w:hanging="360"/>
      </w:pPr>
      <w:rPr>
        <w:u w:val="none"/>
      </w:rPr>
    </w:lvl>
    <w:lvl w:ilvl="2">
      <w:start w:val="1"/>
      <w:numFmt w:val="bullet"/>
      <w:lvlText w:val="■"/>
      <w:lvlJc w:val="left"/>
      <w:pPr>
        <w:ind w:left="5040" w:hanging="360"/>
      </w:pPr>
      <w:rPr>
        <w:u w:val="none"/>
      </w:rPr>
    </w:lvl>
    <w:lvl w:ilvl="3">
      <w:start w:val="1"/>
      <w:numFmt w:val="bullet"/>
      <w:lvlText w:val="●"/>
      <w:lvlJc w:val="left"/>
      <w:pPr>
        <w:ind w:left="5760" w:hanging="360"/>
      </w:pPr>
      <w:rPr>
        <w:u w:val="none"/>
      </w:rPr>
    </w:lvl>
    <w:lvl w:ilvl="4">
      <w:start w:val="1"/>
      <w:numFmt w:val="bullet"/>
      <w:lvlText w:val="○"/>
      <w:lvlJc w:val="left"/>
      <w:pPr>
        <w:ind w:left="6480" w:hanging="360"/>
      </w:pPr>
      <w:rPr>
        <w:u w:val="none"/>
      </w:rPr>
    </w:lvl>
    <w:lvl w:ilvl="5">
      <w:start w:val="1"/>
      <w:numFmt w:val="bullet"/>
      <w:lvlText w:val="■"/>
      <w:lvlJc w:val="left"/>
      <w:pPr>
        <w:ind w:left="7200" w:hanging="360"/>
      </w:pPr>
      <w:rPr>
        <w:u w:val="none"/>
      </w:rPr>
    </w:lvl>
    <w:lvl w:ilvl="6">
      <w:start w:val="1"/>
      <w:numFmt w:val="bullet"/>
      <w:lvlText w:val="●"/>
      <w:lvlJc w:val="left"/>
      <w:pPr>
        <w:ind w:left="7920" w:hanging="360"/>
      </w:pPr>
      <w:rPr>
        <w:u w:val="none"/>
      </w:rPr>
    </w:lvl>
    <w:lvl w:ilvl="7">
      <w:start w:val="1"/>
      <w:numFmt w:val="bullet"/>
      <w:lvlText w:val="○"/>
      <w:lvlJc w:val="left"/>
      <w:pPr>
        <w:ind w:left="8640" w:hanging="360"/>
      </w:pPr>
      <w:rPr>
        <w:u w:val="none"/>
      </w:rPr>
    </w:lvl>
    <w:lvl w:ilvl="8">
      <w:start w:val="1"/>
      <w:numFmt w:val="bullet"/>
      <w:lvlText w:val="■"/>
      <w:lvlJc w:val="left"/>
      <w:pPr>
        <w:ind w:left="9360" w:hanging="360"/>
      </w:pPr>
      <w:rPr>
        <w:u w:val="none"/>
      </w:rPr>
    </w:lvl>
  </w:abstractNum>
  <w:num w:numId="1">
    <w:abstractNumId w:val="2"/>
  </w:num>
  <w:num w:numId="2">
    <w:abstractNumId w:val="5"/>
  </w:num>
  <w:num w:numId="3">
    <w:abstractNumId w:val="0"/>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F7D"/>
    <w:rsid w:val="000A7B70"/>
    <w:rsid w:val="009614A2"/>
    <w:rsid w:val="00FE5F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5D2F2"/>
  <w15:docId w15:val="{0FE87C8D-C0C1-45B2-B625-ED9AC6790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3027</Words>
  <Characters>17258</Characters>
  <Application>Microsoft Office Word</Application>
  <DocSecurity>0</DocSecurity>
  <Lines>143</Lines>
  <Paragraphs>40</Paragraphs>
  <ScaleCrop>false</ScaleCrop>
  <Company>Cabinet Office</Company>
  <LinksUpToDate>false</LinksUpToDate>
  <CharactersWithSpaces>20245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Donna Wyatt</cp:lastModifiedBy>
  <cp:revision>2</cp:revision>
  <dcterms:created xsi:type="dcterms:W3CDTF">2022-04-28T13:14:00Z</dcterms:created>
  <dcterms:modified xsi:type="dcterms:W3CDTF">2022-04-28T13:14:00Z</dcterms:modified>
</cp:coreProperties>
</file>